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6A4CBF85" w:rsidR="0071767D" w:rsidRPr="0024653A" w:rsidRDefault="00C25351" w:rsidP="002E7F47">
      <w:pPr>
        <w:tabs>
          <w:tab w:val="right" w:pos="9639"/>
        </w:tabs>
        <w:snapToGrid w:val="0"/>
        <w:rPr>
          <w:rFonts w:ascii="Arial" w:hAnsi="Arial" w:cs="Arial"/>
          <w:b/>
          <w:sz w:val="24"/>
          <w:szCs w:val="24"/>
          <w:lang w:eastAsia="ko-KR"/>
        </w:rPr>
      </w:pPr>
      <w:r>
        <w:rPr>
          <w:rFonts w:ascii="Arial" w:hAnsi="Arial" w:cs="Arial"/>
          <w:b/>
          <w:sz w:val="24"/>
          <w:szCs w:val="24"/>
        </w:rPr>
        <w:t>3GPP TSG-RAN WG4 Meeting #10</w:t>
      </w:r>
      <w:r w:rsidR="00496E96">
        <w:rPr>
          <w:rFonts w:ascii="Arial" w:hAnsi="Arial" w:cs="Arial"/>
          <w:b/>
          <w:sz w:val="24"/>
          <w:szCs w:val="24"/>
        </w:rPr>
        <w:t>9</w:t>
      </w:r>
      <w:r w:rsidR="0071767D" w:rsidRPr="0024653A">
        <w:rPr>
          <w:rFonts w:ascii="Arial" w:hAnsi="Arial" w:cs="Arial"/>
          <w:b/>
          <w:sz w:val="24"/>
          <w:szCs w:val="24"/>
        </w:rPr>
        <w:tab/>
      </w:r>
      <w:r w:rsidR="0051558B" w:rsidRPr="0051558B">
        <w:rPr>
          <w:rFonts w:ascii="Arial" w:hAnsi="Arial" w:cs="Arial"/>
          <w:b/>
          <w:sz w:val="24"/>
          <w:szCs w:val="24"/>
        </w:rPr>
        <w:t>R4-231</w:t>
      </w:r>
      <w:r w:rsidR="002B52EE">
        <w:rPr>
          <w:rFonts w:ascii="Arial" w:hAnsi="Arial" w:cs="Arial"/>
          <w:b/>
          <w:sz w:val="24"/>
          <w:szCs w:val="24"/>
        </w:rPr>
        <w:t>9507</w:t>
      </w:r>
    </w:p>
    <w:p w14:paraId="76B4917E" w14:textId="7C3FCD3D" w:rsidR="0071767D" w:rsidRPr="0024653A" w:rsidRDefault="00496E96" w:rsidP="002E7F47">
      <w:pPr>
        <w:tabs>
          <w:tab w:val="left" w:pos="1985"/>
        </w:tabs>
        <w:snapToGrid w:val="0"/>
        <w:spacing w:after="240"/>
        <w:ind w:left="1979" w:hanging="1979"/>
        <w:rPr>
          <w:rFonts w:ascii="Arial" w:hAnsi="Arial" w:cs="Arial"/>
          <w:b/>
          <w:sz w:val="24"/>
          <w:szCs w:val="24"/>
        </w:rPr>
      </w:pPr>
      <w:r w:rsidRPr="00496E96">
        <w:rPr>
          <w:rFonts w:ascii="Arial" w:hAnsi="Arial" w:cs="Arial"/>
          <w:b/>
          <w:sz w:val="24"/>
          <w:szCs w:val="24"/>
        </w:rPr>
        <w:t>Chicago, US, November 13 – 17, 2023</w:t>
      </w:r>
      <w:r w:rsidR="0071767D" w:rsidRPr="0024653A">
        <w:rPr>
          <w:rFonts w:ascii="Arial" w:hAnsi="Arial" w:cs="Arial"/>
          <w:b/>
          <w:sz w:val="24"/>
          <w:szCs w:val="24"/>
        </w:rPr>
        <w:tab/>
      </w:r>
    </w:p>
    <w:p w14:paraId="662C52C8" w14:textId="77777777" w:rsidR="00151CDF" w:rsidRPr="00151CDF" w:rsidRDefault="00151CDF" w:rsidP="002E7F47">
      <w:pPr>
        <w:widowControl/>
        <w:snapToGrid w:val="0"/>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573838A4" w:rsidR="00151CDF" w:rsidRPr="00151CDF" w:rsidRDefault="00151CDF" w:rsidP="002E7F47">
      <w:pPr>
        <w:widowControl/>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DD2EAB">
        <w:rPr>
          <w:rFonts w:ascii="Arial" w:eastAsia="MS Mincho" w:hAnsi="Arial" w:cs="Arial"/>
          <w:color w:val="000000"/>
          <w:kern w:val="0"/>
          <w:sz w:val="22"/>
          <w:szCs w:val="20"/>
          <w:lang w:val="en-GB" w:eastAsia="ja-JP"/>
        </w:rPr>
        <w:t>Discussion on the l</w:t>
      </w:r>
      <w:r w:rsidR="00DD2EAB" w:rsidRPr="00DD2EAB">
        <w:rPr>
          <w:rFonts w:ascii="Arial" w:eastAsia="MS Mincho" w:hAnsi="Arial" w:cs="Arial"/>
          <w:color w:val="000000"/>
          <w:kern w:val="0"/>
          <w:sz w:val="22"/>
          <w:szCs w:val="20"/>
          <w:lang w:val="en-GB" w:eastAsia="ja-JP"/>
        </w:rPr>
        <w:t xml:space="preserve">ength of switching period for the </w:t>
      </w:r>
      <w:proofErr w:type="spellStart"/>
      <w:r w:rsidR="00DD2EAB" w:rsidRPr="00DD2EAB">
        <w:rPr>
          <w:rFonts w:ascii="Arial" w:eastAsia="MS Mincho" w:hAnsi="Arial" w:cs="Arial"/>
          <w:color w:val="000000"/>
          <w:kern w:val="0"/>
          <w:sz w:val="22"/>
          <w:szCs w:val="20"/>
          <w:lang w:val="en-GB" w:eastAsia="ja-JP"/>
        </w:rPr>
        <w:t>fallback</w:t>
      </w:r>
      <w:proofErr w:type="spellEnd"/>
      <w:r w:rsidR="00DD2EAB" w:rsidRPr="00DD2EAB">
        <w:rPr>
          <w:rFonts w:ascii="Arial" w:eastAsia="MS Mincho" w:hAnsi="Arial" w:cs="Arial"/>
          <w:color w:val="000000"/>
          <w:kern w:val="0"/>
          <w:sz w:val="22"/>
          <w:szCs w:val="20"/>
          <w:lang w:val="en-GB" w:eastAsia="ja-JP"/>
        </w:rPr>
        <w:t xml:space="preserve"> band combinations</w:t>
      </w:r>
    </w:p>
    <w:p w14:paraId="77A5DDF9" w14:textId="415D63CE" w:rsidR="00151CDF" w:rsidRPr="00151CDF" w:rsidRDefault="00151CDF" w:rsidP="002E7F47">
      <w:pPr>
        <w:widowControl/>
        <w:tabs>
          <w:tab w:val="left" w:pos="284"/>
          <w:tab w:val="left" w:pos="568"/>
          <w:tab w:val="left" w:pos="852"/>
          <w:tab w:val="left" w:pos="1136"/>
          <w:tab w:val="left" w:pos="1420"/>
          <w:tab w:val="left" w:pos="1704"/>
          <w:tab w:val="left" w:pos="1988"/>
          <w:tab w:val="left" w:pos="4215"/>
        </w:tabs>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2C2ED0">
        <w:rPr>
          <w:rFonts w:ascii="Arial" w:eastAsia="MS Mincho" w:hAnsi="Arial" w:cs="Arial"/>
          <w:color w:val="000000"/>
          <w:kern w:val="0"/>
          <w:sz w:val="22"/>
          <w:szCs w:val="20"/>
          <w:lang w:val="pt-BR" w:eastAsia="ja-JP"/>
        </w:rPr>
        <w:t>8.</w:t>
      </w:r>
      <w:r w:rsidR="00AA70DF">
        <w:rPr>
          <w:rFonts w:ascii="Arial" w:eastAsia="MS Mincho" w:hAnsi="Arial" w:cs="Arial"/>
          <w:color w:val="000000"/>
          <w:kern w:val="0"/>
          <w:sz w:val="22"/>
          <w:szCs w:val="20"/>
          <w:lang w:val="pt-BR" w:eastAsia="ja-JP"/>
        </w:rPr>
        <w:t>2</w:t>
      </w:r>
      <w:r w:rsidR="00276925">
        <w:rPr>
          <w:rFonts w:ascii="Arial" w:eastAsia="MS Mincho" w:hAnsi="Arial" w:cs="Arial"/>
          <w:color w:val="000000"/>
          <w:kern w:val="0"/>
          <w:sz w:val="22"/>
          <w:szCs w:val="20"/>
          <w:lang w:val="pt-BR" w:eastAsia="ja-JP"/>
        </w:rPr>
        <w:t>3</w:t>
      </w:r>
      <w:r w:rsidR="0071767D" w:rsidRPr="0071767D">
        <w:rPr>
          <w:rFonts w:ascii="Arial" w:eastAsia="MS Mincho" w:hAnsi="Arial" w:cs="Arial"/>
          <w:color w:val="000000"/>
          <w:kern w:val="0"/>
          <w:sz w:val="22"/>
          <w:szCs w:val="20"/>
          <w:lang w:val="pt-BR" w:eastAsia="ja-JP"/>
        </w:rPr>
        <w:t>.2.1</w:t>
      </w:r>
    </w:p>
    <w:p w14:paraId="314195EA" w14:textId="1B3D9C42" w:rsidR="00151CDF" w:rsidRPr="00151CDF" w:rsidRDefault="00151CDF" w:rsidP="002E7F47">
      <w:pPr>
        <w:widowControl/>
        <w:snapToGrid w:val="0"/>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2E7F47">
      <w:pPr>
        <w:keepNext/>
        <w:keepLines/>
        <w:widowControl/>
        <w:pBdr>
          <w:top w:val="single" w:sz="12" w:space="1" w:color="auto"/>
        </w:pBdr>
        <w:tabs>
          <w:tab w:val="left" w:pos="567"/>
        </w:tabs>
        <w:adjustRightInd w:val="0"/>
        <w:snapToGri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6BA0A474" w14:textId="77777777" w:rsidR="005D4C85" w:rsidRDefault="00EB4FB4" w:rsidP="002E7F47">
      <w:pPr>
        <w:widowControl/>
        <w:overflowPunct w:val="0"/>
        <w:autoSpaceDE w:val="0"/>
        <w:autoSpaceDN w:val="0"/>
        <w:adjustRightInd w:val="0"/>
        <w:snapToGrid w:val="0"/>
        <w:spacing w:before="60" w:after="120"/>
        <w:textAlignment w:val="baseline"/>
        <w:rPr>
          <w:kern w:val="0"/>
          <w:sz w:val="20"/>
        </w:rPr>
      </w:pPr>
      <w:r>
        <w:rPr>
          <w:kern w:val="0"/>
          <w:sz w:val="20"/>
        </w:rPr>
        <w:t>In RAN4#10</w:t>
      </w:r>
      <w:r w:rsidR="002C2ED0">
        <w:rPr>
          <w:kern w:val="0"/>
          <w:sz w:val="20"/>
        </w:rPr>
        <w:t>8bis</w:t>
      </w:r>
      <w:r>
        <w:rPr>
          <w:kern w:val="0"/>
          <w:sz w:val="20"/>
        </w:rPr>
        <w:t xml:space="preserve">, </w:t>
      </w:r>
      <w:r w:rsidR="002C2ED0">
        <w:rPr>
          <w:kern w:val="0"/>
          <w:sz w:val="20"/>
        </w:rPr>
        <w:t>the LS</w:t>
      </w:r>
      <w:r w:rsidR="00E953FC">
        <w:rPr>
          <w:kern w:val="0"/>
          <w:sz w:val="20"/>
        </w:rPr>
        <w:t xml:space="preserve"> </w:t>
      </w:r>
      <w:r w:rsidR="002C2ED0">
        <w:rPr>
          <w:kern w:val="0"/>
          <w:sz w:val="20"/>
        </w:rPr>
        <w:t>[1]</w:t>
      </w:r>
      <w:r w:rsidR="00E953FC">
        <w:rPr>
          <w:kern w:val="0"/>
          <w:sz w:val="20"/>
        </w:rPr>
        <w:t xml:space="preserve"> was sent to RAN2 on the </w:t>
      </w:r>
      <w:r w:rsidR="005D4C85">
        <w:rPr>
          <w:kern w:val="0"/>
          <w:sz w:val="20"/>
        </w:rPr>
        <w:t xml:space="preserve">identified </w:t>
      </w:r>
      <w:r w:rsidR="00E953FC">
        <w:rPr>
          <w:kern w:val="0"/>
          <w:sz w:val="20"/>
        </w:rPr>
        <w:t>issue</w:t>
      </w:r>
      <w:r w:rsidR="005D4C85">
        <w:rPr>
          <w:kern w:val="0"/>
          <w:sz w:val="20"/>
        </w:rPr>
        <w:t xml:space="preserve"> in RAN4</w:t>
      </w:r>
      <w:r w:rsidR="0051735F">
        <w:rPr>
          <w:kern w:val="0"/>
          <w:sz w:val="20"/>
        </w:rPr>
        <w:t xml:space="preserve"> of</w:t>
      </w:r>
      <w:r w:rsidR="00E953FC">
        <w:rPr>
          <w:kern w:val="0"/>
          <w:sz w:val="20"/>
        </w:rPr>
        <w:t xml:space="preserve"> </w:t>
      </w:r>
      <w:r w:rsidR="0051735F">
        <w:rPr>
          <w:kern w:val="0"/>
          <w:sz w:val="20"/>
        </w:rPr>
        <w:t xml:space="preserve">ambiguous </w:t>
      </w:r>
      <w:r w:rsidR="00E953FC" w:rsidRPr="00E953FC">
        <w:rPr>
          <w:kern w:val="0"/>
          <w:sz w:val="20"/>
        </w:rPr>
        <w:t>switching period for the fallback band combinations</w:t>
      </w:r>
      <w:r w:rsidR="0051735F">
        <w:rPr>
          <w:kern w:val="0"/>
          <w:sz w:val="20"/>
        </w:rPr>
        <w:t>. Then candidate solutions were captured in [2]</w:t>
      </w:r>
      <w:r w:rsidR="005D4C85">
        <w:rPr>
          <w:kern w:val="0"/>
          <w:sz w:val="20"/>
        </w:rPr>
        <w:t xml:space="preserve">. </w:t>
      </w:r>
    </w:p>
    <w:tbl>
      <w:tblPr>
        <w:tblStyle w:val="ad"/>
        <w:tblW w:w="0" w:type="auto"/>
        <w:tblLook w:val="04A0" w:firstRow="1" w:lastRow="0" w:firstColumn="1" w:lastColumn="0" w:noHBand="0" w:noVBand="1"/>
      </w:tblPr>
      <w:tblGrid>
        <w:gridCol w:w="9628"/>
      </w:tblGrid>
      <w:tr w:rsidR="008A668B" w14:paraId="01426127" w14:textId="77777777" w:rsidTr="008A668B">
        <w:tc>
          <w:tcPr>
            <w:tcW w:w="9628" w:type="dxa"/>
          </w:tcPr>
          <w:p w14:paraId="62B33501" w14:textId="77777777" w:rsidR="008A668B" w:rsidRPr="008A668B" w:rsidRDefault="008A668B" w:rsidP="008A668B">
            <w:pPr>
              <w:widowControl/>
              <w:tabs>
                <w:tab w:val="center" w:pos="4153"/>
                <w:tab w:val="right" w:pos="8306"/>
              </w:tabs>
              <w:snapToGrid w:val="0"/>
              <w:spacing w:line="240" w:lineRule="auto"/>
              <w:jc w:val="left"/>
              <w:rPr>
                <w:rFonts w:ascii="Arial" w:hAnsi="Arial" w:cs="Arial"/>
                <w:bCs/>
                <w:iCs/>
                <w:sz w:val="18"/>
              </w:rPr>
            </w:pPr>
            <w:r w:rsidRPr="008A668B">
              <w:rPr>
                <w:rFonts w:ascii="Arial" w:hAnsi="Arial" w:cs="Arial" w:hint="eastAsia"/>
                <w:bCs/>
                <w:iCs/>
                <w:sz w:val="18"/>
              </w:rPr>
              <w:t>A</w:t>
            </w:r>
            <w:r w:rsidRPr="008A668B">
              <w:rPr>
                <w:rFonts w:ascii="Arial" w:hAnsi="Arial" w:cs="Arial"/>
                <w:bCs/>
                <w:iCs/>
                <w:sz w:val="18"/>
              </w:rPr>
              <w:t>lt.1: Network configuration</w:t>
            </w:r>
          </w:p>
          <w:p w14:paraId="10056253" w14:textId="77777777" w:rsidR="008A668B" w:rsidRPr="00DD2EAB" w:rsidRDefault="008A668B" w:rsidP="008A668B">
            <w:pPr>
              <w:pStyle w:val="aa"/>
              <w:widowControl/>
              <w:numPr>
                <w:ilvl w:val="0"/>
                <w:numId w:val="36"/>
              </w:numPr>
              <w:tabs>
                <w:tab w:val="center" w:pos="4153"/>
                <w:tab w:val="right" w:pos="8306"/>
              </w:tabs>
              <w:snapToGrid w:val="0"/>
              <w:spacing w:before="0" w:line="240" w:lineRule="auto"/>
              <w:ind w:firstLineChars="0"/>
              <w:jc w:val="left"/>
              <w:rPr>
                <w:rFonts w:ascii="Arial" w:hAnsi="Arial" w:cs="Arial"/>
                <w:bCs/>
                <w:iCs/>
                <w:sz w:val="18"/>
              </w:rPr>
            </w:pPr>
            <w:r w:rsidRPr="00DD2EAB">
              <w:rPr>
                <w:rFonts w:ascii="Arial" w:hAnsi="Arial" w:cs="Arial" w:hint="eastAsia"/>
                <w:bCs/>
                <w:iCs/>
                <w:sz w:val="18"/>
              </w:rPr>
              <w:t>A</w:t>
            </w:r>
            <w:r w:rsidRPr="00DD2EAB">
              <w:rPr>
                <w:rFonts w:ascii="Arial" w:hAnsi="Arial" w:cs="Arial"/>
                <w:bCs/>
                <w:iCs/>
                <w:sz w:val="18"/>
              </w:rPr>
              <w:t xml:space="preserve">lt.1-1: Network configures if ABC was a </w:t>
            </w:r>
            <w:proofErr w:type="spellStart"/>
            <w:r w:rsidRPr="00DD2EAB">
              <w:rPr>
                <w:rFonts w:ascii="Arial" w:hAnsi="Arial" w:cs="Arial"/>
                <w:bCs/>
                <w:iCs/>
                <w:sz w:val="18"/>
              </w:rPr>
              <w:t>fallback</w:t>
            </w:r>
            <w:proofErr w:type="spellEnd"/>
            <w:r w:rsidRPr="00DD2EAB">
              <w:rPr>
                <w:rFonts w:ascii="Arial" w:hAnsi="Arial" w:cs="Arial"/>
                <w:bCs/>
                <w:iCs/>
                <w:sz w:val="18"/>
              </w:rPr>
              <w:t xml:space="preserve"> of ABCD or ABCE thus UE knows from which higher order combination the switching periods are inherited from</w:t>
            </w:r>
          </w:p>
          <w:p w14:paraId="3999C067" w14:textId="77777777" w:rsidR="008A668B" w:rsidRPr="00DD2EAB" w:rsidRDefault="008A668B" w:rsidP="008A668B">
            <w:pPr>
              <w:pStyle w:val="aa"/>
              <w:widowControl/>
              <w:numPr>
                <w:ilvl w:val="0"/>
                <w:numId w:val="36"/>
              </w:numPr>
              <w:tabs>
                <w:tab w:val="center" w:pos="4153"/>
                <w:tab w:val="right" w:pos="8306"/>
              </w:tabs>
              <w:snapToGrid w:val="0"/>
              <w:spacing w:before="0" w:line="240" w:lineRule="auto"/>
              <w:ind w:firstLineChars="0"/>
              <w:jc w:val="left"/>
              <w:rPr>
                <w:rFonts w:ascii="Arial" w:hAnsi="Arial" w:cs="Arial"/>
                <w:bCs/>
                <w:iCs/>
                <w:sz w:val="18"/>
              </w:rPr>
            </w:pPr>
            <w:r w:rsidRPr="00DD2EAB">
              <w:rPr>
                <w:rFonts w:ascii="Arial" w:hAnsi="Arial" w:cs="Arial"/>
                <w:bCs/>
                <w:iCs/>
                <w:sz w:val="18"/>
              </w:rPr>
              <w:t>Alt.1-2: Network configures the switching periods for band pair explicitly respecting the UE capability indication, i.e. either the [AB:35, BC:140] or [AB:140, BC:35]</w:t>
            </w:r>
          </w:p>
          <w:p w14:paraId="5A76F660" w14:textId="77777777" w:rsidR="008A668B" w:rsidRPr="008A668B" w:rsidRDefault="008A668B" w:rsidP="008A668B">
            <w:pPr>
              <w:widowControl/>
              <w:tabs>
                <w:tab w:val="center" w:pos="4153"/>
                <w:tab w:val="right" w:pos="8306"/>
              </w:tabs>
              <w:snapToGrid w:val="0"/>
              <w:spacing w:before="0" w:line="240" w:lineRule="auto"/>
              <w:jc w:val="left"/>
              <w:rPr>
                <w:rFonts w:ascii="Arial" w:hAnsi="Arial" w:cs="Arial"/>
                <w:bCs/>
                <w:iCs/>
                <w:sz w:val="18"/>
              </w:rPr>
            </w:pPr>
          </w:p>
          <w:p w14:paraId="20D69B3E" w14:textId="77777777" w:rsidR="008A668B" w:rsidRPr="008A668B" w:rsidRDefault="008A668B" w:rsidP="008A668B">
            <w:pPr>
              <w:widowControl/>
              <w:tabs>
                <w:tab w:val="center" w:pos="4153"/>
                <w:tab w:val="right" w:pos="8306"/>
              </w:tabs>
              <w:snapToGrid w:val="0"/>
              <w:spacing w:before="0" w:line="240" w:lineRule="auto"/>
              <w:jc w:val="left"/>
              <w:rPr>
                <w:rFonts w:ascii="Arial" w:hAnsi="Arial" w:cs="Arial"/>
                <w:bCs/>
                <w:iCs/>
                <w:sz w:val="18"/>
              </w:rPr>
            </w:pPr>
            <w:r w:rsidRPr="008A668B">
              <w:rPr>
                <w:rFonts w:ascii="Arial" w:hAnsi="Arial" w:cs="Arial" w:hint="eastAsia"/>
                <w:bCs/>
                <w:iCs/>
                <w:sz w:val="18"/>
              </w:rPr>
              <w:t>A</w:t>
            </w:r>
            <w:r w:rsidRPr="008A668B">
              <w:rPr>
                <w:rFonts w:ascii="Arial" w:hAnsi="Arial" w:cs="Arial"/>
                <w:bCs/>
                <w:iCs/>
                <w:sz w:val="18"/>
              </w:rPr>
              <w:t>lt.2: UE reports preferred capability in addition</w:t>
            </w:r>
          </w:p>
          <w:p w14:paraId="640E4F3F" w14:textId="77777777" w:rsidR="008A668B" w:rsidRPr="00DD2EAB" w:rsidRDefault="008A668B" w:rsidP="008A668B">
            <w:pPr>
              <w:pStyle w:val="aa"/>
              <w:widowControl/>
              <w:numPr>
                <w:ilvl w:val="0"/>
                <w:numId w:val="37"/>
              </w:numPr>
              <w:tabs>
                <w:tab w:val="center" w:pos="4153"/>
                <w:tab w:val="right" w:pos="8306"/>
              </w:tabs>
              <w:snapToGrid w:val="0"/>
              <w:spacing w:before="0" w:line="240" w:lineRule="auto"/>
              <w:ind w:firstLineChars="0"/>
              <w:jc w:val="left"/>
              <w:rPr>
                <w:rFonts w:ascii="Arial" w:hAnsi="Arial" w:cs="Arial"/>
                <w:bCs/>
                <w:iCs/>
                <w:sz w:val="18"/>
              </w:rPr>
            </w:pPr>
            <w:r w:rsidRPr="00DD2EAB">
              <w:rPr>
                <w:rFonts w:ascii="Arial" w:hAnsi="Arial" w:cs="Arial"/>
                <w:bCs/>
                <w:iCs/>
                <w:sz w:val="18"/>
              </w:rPr>
              <w:t xml:space="preserve">Alt.2-1: </w:t>
            </w:r>
            <w:r w:rsidRPr="00DD2EAB">
              <w:rPr>
                <w:rFonts w:ascii="Arial" w:hAnsi="Arial" w:cs="Arial"/>
                <w:bCs/>
                <w:iCs/>
                <w:sz w:val="18"/>
              </w:rPr>
              <w:tab/>
              <w:t xml:space="preserve">UE additionally reports the switch period capability for A+B+C and override the switch period capability </w:t>
            </w:r>
            <w:r w:rsidRPr="00DD2EAB">
              <w:rPr>
                <w:rFonts w:ascii="Arial" w:eastAsia="MS Mincho" w:hAnsi="Arial" w:cs="Arial"/>
                <w:sz w:val="18"/>
                <w:lang w:eastAsia="ko-KR"/>
              </w:rPr>
              <w:t>inherited from</w:t>
            </w:r>
            <w:r w:rsidRPr="00DD2EAB">
              <w:rPr>
                <w:rFonts w:ascii="Arial" w:hAnsi="Arial" w:cs="Arial"/>
                <w:bCs/>
                <w:iCs/>
                <w:sz w:val="18"/>
              </w:rPr>
              <w:t xml:space="preserve"> the parent band combination A+B+C+D or A+B+C+E.</w:t>
            </w:r>
          </w:p>
          <w:p w14:paraId="140306CC" w14:textId="77777777" w:rsidR="008A668B" w:rsidRPr="00DD2EAB" w:rsidRDefault="008A668B" w:rsidP="008A668B">
            <w:pPr>
              <w:pStyle w:val="aa"/>
              <w:widowControl/>
              <w:numPr>
                <w:ilvl w:val="0"/>
                <w:numId w:val="37"/>
              </w:numPr>
              <w:tabs>
                <w:tab w:val="center" w:pos="4153"/>
                <w:tab w:val="right" w:pos="8306"/>
              </w:tabs>
              <w:snapToGrid w:val="0"/>
              <w:spacing w:before="0" w:line="240" w:lineRule="auto"/>
              <w:ind w:firstLineChars="0"/>
              <w:jc w:val="left"/>
              <w:rPr>
                <w:rFonts w:ascii="Arial" w:hAnsi="Arial" w:cs="Arial"/>
                <w:bCs/>
                <w:iCs/>
                <w:sz w:val="18"/>
              </w:rPr>
            </w:pPr>
            <w:r w:rsidRPr="00DD2EAB">
              <w:rPr>
                <w:rFonts w:ascii="Arial" w:hAnsi="Arial" w:cs="Arial"/>
                <w:bCs/>
                <w:iCs/>
                <w:sz w:val="18"/>
              </w:rPr>
              <w:t xml:space="preserve">Alt.2-2: </w:t>
            </w:r>
            <w:r w:rsidRPr="00DD2EAB">
              <w:rPr>
                <w:rFonts w:ascii="Arial" w:hAnsi="Arial" w:cs="Arial"/>
                <w:bCs/>
                <w:iCs/>
                <w:sz w:val="18"/>
              </w:rPr>
              <w:tab/>
              <w:t>UE additionally indicate network which switch period capability is applied, i.e. either the [A+B</w:t>
            </w:r>
            <w:proofErr w:type="gramStart"/>
            <w:r w:rsidRPr="00DD2EAB">
              <w:rPr>
                <w:rFonts w:ascii="Arial" w:hAnsi="Arial" w:cs="Arial"/>
                <w:bCs/>
                <w:iCs/>
                <w:sz w:val="18"/>
              </w:rPr>
              <w:t>:35us</w:t>
            </w:r>
            <w:proofErr w:type="gramEnd"/>
            <w:r w:rsidRPr="00DD2EAB">
              <w:rPr>
                <w:rFonts w:ascii="Arial" w:hAnsi="Arial" w:cs="Arial"/>
                <w:bCs/>
                <w:iCs/>
                <w:sz w:val="18"/>
              </w:rPr>
              <w:t>, B+C:140us] or [A+B:140us, B+C:35us].</w:t>
            </w:r>
          </w:p>
          <w:p w14:paraId="53286A98" w14:textId="77777777" w:rsidR="008A668B" w:rsidRPr="008A668B" w:rsidRDefault="008A668B" w:rsidP="008A668B">
            <w:pPr>
              <w:widowControl/>
              <w:tabs>
                <w:tab w:val="center" w:pos="4153"/>
                <w:tab w:val="right" w:pos="8306"/>
              </w:tabs>
              <w:snapToGrid w:val="0"/>
              <w:spacing w:before="0" w:line="240" w:lineRule="auto"/>
              <w:jc w:val="left"/>
              <w:rPr>
                <w:rFonts w:ascii="Arial" w:hAnsi="Arial" w:cs="Arial"/>
                <w:bCs/>
                <w:iCs/>
                <w:sz w:val="18"/>
              </w:rPr>
            </w:pPr>
          </w:p>
          <w:p w14:paraId="1B680988" w14:textId="74D513E9" w:rsidR="008A668B" w:rsidRDefault="008A668B" w:rsidP="008A668B">
            <w:pPr>
              <w:widowControl/>
              <w:tabs>
                <w:tab w:val="center" w:pos="4153"/>
                <w:tab w:val="right" w:pos="8306"/>
              </w:tabs>
              <w:snapToGrid w:val="0"/>
              <w:spacing w:before="0" w:after="120" w:line="240" w:lineRule="auto"/>
              <w:jc w:val="left"/>
            </w:pPr>
            <w:r w:rsidRPr="008A668B">
              <w:rPr>
                <w:rFonts w:ascii="Arial" w:hAnsi="Arial" w:cs="Arial"/>
                <w:bCs/>
                <w:iCs/>
                <w:sz w:val="18"/>
              </w:rPr>
              <w:t>Alt.3: The maximum switch period capability is applied for each band pair between A+B+C+D and A+B+C+E.</w:t>
            </w:r>
          </w:p>
        </w:tc>
      </w:tr>
    </w:tbl>
    <w:p w14:paraId="327A8968" w14:textId="42DC7970" w:rsidR="004C109A" w:rsidRPr="00174A0E" w:rsidRDefault="005D4C85" w:rsidP="00F13023">
      <w:pPr>
        <w:widowControl/>
        <w:overflowPunct w:val="0"/>
        <w:autoSpaceDE w:val="0"/>
        <w:autoSpaceDN w:val="0"/>
        <w:adjustRightInd w:val="0"/>
        <w:snapToGrid w:val="0"/>
        <w:spacing w:before="120" w:after="120"/>
        <w:textAlignment w:val="baseline"/>
        <w:rPr>
          <w:kern w:val="0"/>
          <w:sz w:val="20"/>
        </w:rPr>
      </w:pPr>
      <w:r>
        <w:rPr>
          <w:kern w:val="0"/>
          <w:sz w:val="20"/>
        </w:rPr>
        <w:t>In this contribution, we provide further analysis on the issue from the perspective of RF, and also our understa</w:t>
      </w:r>
      <w:r w:rsidR="00243DDD">
        <w:rPr>
          <w:kern w:val="0"/>
          <w:sz w:val="20"/>
        </w:rPr>
        <w:t xml:space="preserve">nding on some of RAN2 </w:t>
      </w:r>
      <w:proofErr w:type="spellStart"/>
      <w:r w:rsidR="00243DDD">
        <w:rPr>
          <w:kern w:val="0"/>
          <w:sz w:val="20"/>
        </w:rPr>
        <w:t>signalings</w:t>
      </w:r>
      <w:proofErr w:type="spellEnd"/>
      <w:r>
        <w:rPr>
          <w:kern w:val="0"/>
          <w:sz w:val="20"/>
        </w:rPr>
        <w:t>.</w:t>
      </w:r>
    </w:p>
    <w:p w14:paraId="47B0DEB7" w14:textId="6960B771" w:rsidR="000C74C9"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2F0C7B4D" w14:textId="23EF9B87" w:rsidR="000D7E2A" w:rsidRDefault="000D7E2A" w:rsidP="00F13023">
      <w:pPr>
        <w:snapToGrid w:val="0"/>
        <w:spacing w:after="120"/>
        <w:rPr>
          <w:kern w:val="0"/>
          <w:sz w:val="20"/>
          <w:szCs w:val="20"/>
        </w:rPr>
      </w:pPr>
      <w:r>
        <w:rPr>
          <w:kern w:val="0"/>
          <w:sz w:val="20"/>
          <w:szCs w:val="20"/>
        </w:rPr>
        <w:t xml:space="preserve">When the UE reports capability of 4-band combination for Rel-18 </w:t>
      </w:r>
      <w:proofErr w:type="spellStart"/>
      <w:r>
        <w:rPr>
          <w:kern w:val="0"/>
          <w:sz w:val="20"/>
          <w:szCs w:val="20"/>
        </w:rPr>
        <w:t>Tx</w:t>
      </w:r>
      <w:proofErr w:type="spellEnd"/>
      <w:r>
        <w:rPr>
          <w:kern w:val="0"/>
          <w:sz w:val="20"/>
          <w:szCs w:val="20"/>
        </w:rPr>
        <w:t xml:space="preserve"> switching, and the network configures </w:t>
      </w:r>
      <w:r w:rsidR="00F80BFE">
        <w:rPr>
          <w:kern w:val="0"/>
          <w:sz w:val="20"/>
          <w:szCs w:val="20"/>
        </w:rPr>
        <w:t xml:space="preserve">the </w:t>
      </w:r>
      <w:r>
        <w:rPr>
          <w:kern w:val="0"/>
          <w:sz w:val="20"/>
          <w:szCs w:val="20"/>
        </w:rPr>
        <w:t xml:space="preserve">fallback 3-band combination, the switching period for the corresponding band pair in the parent combo can be applied to that in the fallback. </w:t>
      </w:r>
    </w:p>
    <w:p w14:paraId="3353C854" w14:textId="61871A4D" w:rsidR="00F80BFE" w:rsidRDefault="00F80BFE" w:rsidP="00F13023">
      <w:pPr>
        <w:snapToGrid w:val="0"/>
        <w:rPr>
          <w:kern w:val="0"/>
          <w:sz w:val="20"/>
          <w:szCs w:val="20"/>
        </w:rPr>
      </w:pPr>
      <w:r>
        <w:rPr>
          <w:kern w:val="0"/>
          <w:sz w:val="20"/>
          <w:szCs w:val="20"/>
        </w:rPr>
        <w:t xml:space="preserve">In the example illustrated in </w:t>
      </w:r>
      <w:r w:rsidRPr="00F80BFE">
        <w:rPr>
          <w:kern w:val="0"/>
          <w:sz w:val="20"/>
          <w:szCs w:val="20"/>
        </w:rPr>
        <w:fldChar w:fldCharType="begin"/>
      </w:r>
      <w:r w:rsidRPr="00F80BFE">
        <w:rPr>
          <w:kern w:val="0"/>
          <w:sz w:val="20"/>
          <w:szCs w:val="20"/>
        </w:rPr>
        <w:instrText xml:space="preserve"> REF _Ref149905579 \h </w:instrText>
      </w:r>
      <w:r>
        <w:rPr>
          <w:kern w:val="0"/>
          <w:sz w:val="20"/>
          <w:szCs w:val="20"/>
        </w:rPr>
        <w:instrText xml:space="preserve"> \* MERGEFORMAT </w:instrText>
      </w:r>
      <w:r w:rsidRPr="00F80BFE">
        <w:rPr>
          <w:kern w:val="0"/>
          <w:sz w:val="20"/>
          <w:szCs w:val="20"/>
        </w:rPr>
      </w:r>
      <w:r w:rsidRPr="00F80BFE">
        <w:rPr>
          <w:kern w:val="0"/>
          <w:sz w:val="20"/>
          <w:szCs w:val="20"/>
        </w:rPr>
        <w:fldChar w:fldCharType="separate"/>
      </w:r>
      <w:r w:rsidR="00DD2EAB" w:rsidRPr="00DD2EAB">
        <w:rPr>
          <w:sz w:val="20"/>
          <w:szCs w:val="20"/>
        </w:rPr>
        <w:t xml:space="preserve">Figure </w:t>
      </w:r>
      <w:r w:rsidR="00DD2EAB" w:rsidRPr="00DD2EAB">
        <w:rPr>
          <w:noProof/>
          <w:sz w:val="20"/>
          <w:szCs w:val="20"/>
        </w:rPr>
        <w:t>1</w:t>
      </w:r>
      <w:r w:rsidRPr="00F80BFE">
        <w:rPr>
          <w:kern w:val="0"/>
          <w:sz w:val="20"/>
          <w:szCs w:val="20"/>
        </w:rPr>
        <w:fldChar w:fldCharType="end"/>
      </w:r>
      <w:r w:rsidRPr="00F80BFE">
        <w:rPr>
          <w:kern w:val="0"/>
          <w:sz w:val="20"/>
          <w:szCs w:val="20"/>
        </w:rPr>
        <w:t>,</w:t>
      </w:r>
      <w:r>
        <w:rPr>
          <w:kern w:val="0"/>
          <w:sz w:val="20"/>
          <w:szCs w:val="20"/>
        </w:rPr>
        <w:t xml:space="preserve"> </w:t>
      </w:r>
      <w:r w:rsidR="00573112">
        <w:rPr>
          <w:kern w:val="0"/>
          <w:sz w:val="20"/>
          <w:szCs w:val="20"/>
        </w:rPr>
        <w:t xml:space="preserve">the switching period for band pair A+C is </w:t>
      </w:r>
      <w:r w:rsidR="00573112" w:rsidRPr="00573112">
        <w:rPr>
          <w:kern w:val="0"/>
          <w:sz w:val="20"/>
          <w:szCs w:val="20"/>
        </w:rPr>
        <w:t>140μs</w:t>
      </w:r>
      <w:r w:rsidR="00573112">
        <w:rPr>
          <w:kern w:val="0"/>
          <w:sz w:val="20"/>
          <w:szCs w:val="20"/>
        </w:rPr>
        <w:t xml:space="preserve"> in the band combination ABCD. The same PLL, </w:t>
      </w:r>
      <w:proofErr w:type="spellStart"/>
      <w:proofErr w:type="gramStart"/>
      <w:r w:rsidR="00573112">
        <w:rPr>
          <w:kern w:val="0"/>
          <w:sz w:val="20"/>
          <w:szCs w:val="20"/>
        </w:rPr>
        <w:t>Tx</w:t>
      </w:r>
      <w:proofErr w:type="spellEnd"/>
      <w:proofErr w:type="gramEnd"/>
      <w:r w:rsidR="00573112">
        <w:rPr>
          <w:kern w:val="0"/>
          <w:sz w:val="20"/>
          <w:szCs w:val="20"/>
        </w:rPr>
        <w:t xml:space="preserve"> chain can be used to band pair A+B in the band combination ABC in the same UE with the same switching period. </w:t>
      </w:r>
    </w:p>
    <w:p w14:paraId="32BC9A5F" w14:textId="77777777" w:rsidR="00F80BFE" w:rsidRDefault="00F80BFE" w:rsidP="002E7F47">
      <w:pPr>
        <w:keepNext/>
        <w:snapToGrid w:val="0"/>
        <w:spacing w:after="120"/>
      </w:pPr>
      <w:r>
        <w:rPr>
          <w:noProof/>
        </w:rPr>
        <w:lastRenderedPageBreak/>
        <w:drawing>
          <wp:inline distT="0" distB="0" distL="0" distR="0" wp14:anchorId="059999BB" wp14:editId="1B62B629">
            <wp:extent cx="6120130" cy="35159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515995"/>
                    </a:xfrm>
                    <a:prstGeom prst="rect">
                      <a:avLst/>
                    </a:prstGeom>
                  </pic:spPr>
                </pic:pic>
              </a:graphicData>
            </a:graphic>
          </wp:inline>
        </w:drawing>
      </w:r>
    </w:p>
    <w:p w14:paraId="0CE31390" w14:textId="2F0956B9" w:rsidR="000D7E2A" w:rsidRPr="002864A9" w:rsidRDefault="00F80BFE" w:rsidP="002E7F47">
      <w:pPr>
        <w:pStyle w:val="af3"/>
        <w:snapToGrid w:val="0"/>
        <w:jc w:val="center"/>
        <w:rPr>
          <w:sz w:val="18"/>
        </w:rPr>
      </w:pPr>
      <w:bookmarkStart w:id="0" w:name="_Ref149905579"/>
      <w:r w:rsidRPr="002864A9">
        <w:rPr>
          <w:sz w:val="18"/>
        </w:rPr>
        <w:t xml:space="preserve">Figure </w:t>
      </w:r>
      <w:r w:rsidRPr="002864A9">
        <w:rPr>
          <w:sz w:val="18"/>
        </w:rPr>
        <w:fldChar w:fldCharType="begin"/>
      </w:r>
      <w:r w:rsidRPr="002864A9">
        <w:rPr>
          <w:sz w:val="18"/>
        </w:rPr>
        <w:instrText xml:space="preserve"> SEQ Figure \* ARABIC </w:instrText>
      </w:r>
      <w:r w:rsidRPr="002864A9">
        <w:rPr>
          <w:sz w:val="18"/>
        </w:rPr>
        <w:fldChar w:fldCharType="separate"/>
      </w:r>
      <w:r w:rsidR="00DD2EAB">
        <w:rPr>
          <w:noProof/>
          <w:sz w:val="18"/>
        </w:rPr>
        <w:t>1</w:t>
      </w:r>
      <w:r w:rsidRPr="002864A9">
        <w:rPr>
          <w:sz w:val="18"/>
        </w:rPr>
        <w:fldChar w:fldCharType="end"/>
      </w:r>
      <w:bookmarkEnd w:id="0"/>
      <w:r w:rsidR="00573112" w:rsidRPr="002864A9">
        <w:rPr>
          <w:sz w:val="18"/>
        </w:rPr>
        <w:t xml:space="preserve"> Reference UE architectures for band combination ABCD</w:t>
      </w:r>
    </w:p>
    <w:p w14:paraId="1708F788" w14:textId="6ED0755B" w:rsidR="00573112" w:rsidRPr="00DD2EAB" w:rsidRDefault="00573112" w:rsidP="002E7F47">
      <w:pPr>
        <w:pStyle w:val="af3"/>
        <w:snapToGrid w:val="0"/>
        <w:rPr>
          <w:i/>
        </w:rPr>
      </w:pPr>
      <w:bookmarkStart w:id="1" w:name="_Ref149909987"/>
      <w:r w:rsidRPr="00DD2EAB">
        <w:rPr>
          <w:i/>
        </w:rPr>
        <w:t xml:space="preserve">Observation </w:t>
      </w:r>
      <w:r w:rsidRPr="00DD2EAB">
        <w:rPr>
          <w:i/>
        </w:rPr>
        <w:fldChar w:fldCharType="begin"/>
      </w:r>
      <w:r w:rsidRPr="00DD2EAB">
        <w:rPr>
          <w:i/>
        </w:rPr>
        <w:instrText xml:space="preserve"> SEQ Observation \* ARABIC </w:instrText>
      </w:r>
      <w:r w:rsidRPr="00DD2EAB">
        <w:rPr>
          <w:i/>
        </w:rPr>
        <w:fldChar w:fldCharType="separate"/>
      </w:r>
      <w:r w:rsidR="00DD2EAB" w:rsidRPr="00DD2EAB">
        <w:rPr>
          <w:i/>
          <w:noProof/>
        </w:rPr>
        <w:t>1</w:t>
      </w:r>
      <w:r w:rsidRPr="00DD2EAB">
        <w:rPr>
          <w:i/>
        </w:rPr>
        <w:fldChar w:fldCharType="end"/>
      </w:r>
      <w:r w:rsidRPr="00DD2EAB">
        <w:rPr>
          <w:i/>
        </w:rPr>
        <w:t xml:space="preserve">: </w:t>
      </w:r>
      <w:r w:rsidR="00CE621F">
        <w:rPr>
          <w:i/>
        </w:rPr>
        <w:t>Normally, a</w:t>
      </w:r>
      <w:r w:rsidRPr="00DD2EAB">
        <w:rPr>
          <w:i/>
        </w:rPr>
        <w:t xml:space="preserve"> UE supports the cor</w:t>
      </w:r>
      <w:r w:rsidR="00243DDD">
        <w:rPr>
          <w:i/>
        </w:rPr>
        <w:t xml:space="preserve">responding capability of parent-BC in the </w:t>
      </w:r>
      <w:proofErr w:type="spellStart"/>
      <w:r w:rsidR="00243DDD">
        <w:rPr>
          <w:i/>
        </w:rPr>
        <w:t>fallback</w:t>
      </w:r>
      <w:proofErr w:type="spellEnd"/>
      <w:r w:rsidR="00243DDD">
        <w:rPr>
          <w:i/>
        </w:rPr>
        <w:t xml:space="preserve">-BC </w:t>
      </w:r>
      <w:r w:rsidRPr="00DD2EAB">
        <w:rPr>
          <w:i/>
        </w:rPr>
        <w:t>from the perspective of UE architecture, i.e., the same switching period for the band pair.</w:t>
      </w:r>
      <w:bookmarkEnd w:id="1"/>
    </w:p>
    <w:p w14:paraId="497EBDEC" w14:textId="77777777" w:rsidR="00573112" w:rsidRPr="00DD2EAB" w:rsidRDefault="00573112" w:rsidP="002E7F47">
      <w:pPr>
        <w:snapToGrid w:val="0"/>
        <w:rPr>
          <w:sz w:val="20"/>
          <w:szCs w:val="20"/>
          <w:lang w:val="en-GB" w:eastAsia="en-US"/>
        </w:rPr>
      </w:pPr>
    </w:p>
    <w:p w14:paraId="304820B6" w14:textId="4990A8F1" w:rsidR="002864A9" w:rsidRPr="009C7754" w:rsidRDefault="00325E1D" w:rsidP="009C7754">
      <w:pPr>
        <w:snapToGrid w:val="0"/>
        <w:spacing w:after="120"/>
        <w:rPr>
          <w:sz w:val="20"/>
          <w:szCs w:val="20"/>
          <w:lang w:val="en-GB" w:eastAsia="en-US"/>
        </w:rPr>
      </w:pPr>
      <w:r w:rsidRPr="00DD2EAB">
        <w:rPr>
          <w:sz w:val="20"/>
          <w:szCs w:val="20"/>
          <w:lang w:val="en-GB" w:eastAsia="en-US"/>
        </w:rPr>
        <w:t xml:space="preserve">For the Alt.2 in [2], it </w:t>
      </w:r>
      <w:r w:rsidR="00243DDD">
        <w:rPr>
          <w:sz w:val="20"/>
          <w:szCs w:val="20"/>
          <w:lang w:val="en-GB" w:eastAsia="en-US"/>
        </w:rPr>
        <w:t>is not aligned with</w:t>
      </w:r>
      <w:r w:rsidRPr="00DD2EAB">
        <w:rPr>
          <w:sz w:val="20"/>
          <w:szCs w:val="20"/>
          <w:lang w:val="en-GB" w:eastAsia="en-US"/>
        </w:rPr>
        <w:t xml:space="preserve"> the </w:t>
      </w:r>
      <w:proofErr w:type="spellStart"/>
      <w:r w:rsidRPr="00DD2EAB">
        <w:rPr>
          <w:sz w:val="20"/>
          <w:szCs w:val="20"/>
          <w:lang w:val="en-GB" w:eastAsia="en-US"/>
        </w:rPr>
        <w:t>fallback</w:t>
      </w:r>
      <w:proofErr w:type="spellEnd"/>
      <w:r w:rsidRPr="00DD2EAB">
        <w:rPr>
          <w:sz w:val="20"/>
          <w:szCs w:val="20"/>
          <w:lang w:val="en-GB" w:eastAsia="en-US"/>
        </w:rPr>
        <w:t xml:space="preserve"> rule in RAN2 specification as we analyse</w:t>
      </w:r>
      <w:bookmarkStart w:id="2" w:name="_GoBack"/>
      <w:bookmarkEnd w:id="2"/>
      <w:r w:rsidRPr="00DD2EAB">
        <w:rPr>
          <w:sz w:val="20"/>
          <w:szCs w:val="20"/>
          <w:lang w:val="en-GB" w:eastAsia="en-US"/>
        </w:rPr>
        <w:t>d in</w:t>
      </w:r>
      <w:r w:rsidR="00715C1A" w:rsidRPr="00DD2EAB">
        <w:rPr>
          <w:sz w:val="20"/>
          <w:szCs w:val="20"/>
          <w:lang w:val="en-GB" w:eastAsia="en-US"/>
        </w:rPr>
        <w:t xml:space="preserve"> [4].</w:t>
      </w:r>
      <w:r w:rsidR="009C7754">
        <w:rPr>
          <w:sz w:val="20"/>
          <w:szCs w:val="20"/>
          <w:lang w:val="en-GB" w:eastAsia="en-US"/>
        </w:rPr>
        <w:t xml:space="preserve"> </w:t>
      </w:r>
      <w:r w:rsidR="002864A9" w:rsidRPr="00DD2EAB">
        <w:rPr>
          <w:sz w:val="20"/>
          <w:szCs w:val="20"/>
          <w:lang w:val="en-GB" w:eastAsia="en-US"/>
        </w:rPr>
        <w:t xml:space="preserve">Our preference is not to challenge the RAN2 rule boldly. Especially, RAN4 just sent the LS to RAN2 to ask the signalling-based solution. We need get the feedback from RAN2 before drawing any conclusion in RAN4 to avoid recklessly </w:t>
      </w:r>
      <w:r w:rsidR="00243DDD">
        <w:rPr>
          <w:sz w:val="20"/>
          <w:szCs w:val="20"/>
          <w:lang w:val="en-GB" w:eastAsia="en-US"/>
        </w:rPr>
        <w:t xml:space="preserve">break </w:t>
      </w:r>
      <w:r w:rsidR="002864A9" w:rsidRPr="00DD2EAB">
        <w:rPr>
          <w:sz w:val="20"/>
          <w:szCs w:val="20"/>
          <w:lang w:val="en-GB" w:eastAsia="en-US"/>
        </w:rPr>
        <w:t>RAN2 fundamental signalling structures.</w:t>
      </w:r>
    </w:p>
    <w:p w14:paraId="5A1BA954" w14:textId="381679E0" w:rsidR="002864A9" w:rsidRPr="00DD2EAB" w:rsidRDefault="002864A9" w:rsidP="002864A9">
      <w:pPr>
        <w:pStyle w:val="af3"/>
        <w:rPr>
          <w:rFonts w:ascii="Cambria" w:eastAsia="Cambria" w:hAnsi="Cambria"/>
        </w:rPr>
      </w:pPr>
      <w:bookmarkStart w:id="3" w:name="_Ref149909992"/>
      <w:r w:rsidRPr="00F13023">
        <w:rPr>
          <w:i/>
        </w:rPr>
        <w:t xml:space="preserve">Observation </w:t>
      </w:r>
      <w:r w:rsidRPr="00F13023">
        <w:rPr>
          <w:i/>
        </w:rPr>
        <w:fldChar w:fldCharType="begin"/>
      </w:r>
      <w:r w:rsidRPr="00F13023">
        <w:rPr>
          <w:i/>
        </w:rPr>
        <w:instrText xml:space="preserve"> SEQ Observation \* ARABIC </w:instrText>
      </w:r>
      <w:r w:rsidRPr="00F13023">
        <w:rPr>
          <w:i/>
        </w:rPr>
        <w:fldChar w:fldCharType="separate"/>
      </w:r>
      <w:r w:rsidR="00DD2EAB" w:rsidRPr="00F13023">
        <w:rPr>
          <w:i/>
          <w:noProof/>
        </w:rPr>
        <w:t>2</w:t>
      </w:r>
      <w:r w:rsidRPr="00F13023">
        <w:rPr>
          <w:i/>
        </w:rPr>
        <w:fldChar w:fldCharType="end"/>
      </w:r>
      <w:r w:rsidRPr="00F13023">
        <w:rPr>
          <w:i/>
        </w:rPr>
        <w:t>:</w:t>
      </w:r>
      <w:r w:rsidRPr="00DD2EAB">
        <w:rPr>
          <w:rFonts w:eastAsia="宋体"/>
          <w:b w:val="0"/>
          <w:i/>
          <w:kern w:val="2"/>
          <w:lang w:val="en-US" w:eastAsia="zh-CN"/>
        </w:rPr>
        <w:t xml:space="preserve"> </w:t>
      </w:r>
      <w:r w:rsidRPr="00DD2EAB">
        <w:rPr>
          <w:i/>
          <w:lang w:val="en-US"/>
        </w:rPr>
        <w:t xml:space="preserve">Alt.2 with UE indicating preferred capability </w:t>
      </w:r>
      <w:r w:rsidR="00CE621F">
        <w:rPr>
          <w:i/>
          <w:lang w:val="en-US"/>
        </w:rPr>
        <w:t>is not aligned with</w:t>
      </w:r>
      <w:r w:rsidRPr="00DD2EAB">
        <w:rPr>
          <w:i/>
          <w:lang w:val="en-US"/>
        </w:rPr>
        <w:t xml:space="preserve"> the fallback rule in RAN2.</w:t>
      </w:r>
      <w:bookmarkEnd w:id="3"/>
    </w:p>
    <w:p w14:paraId="7C6F25FD" w14:textId="6FE161CD" w:rsidR="00715C1A" w:rsidRPr="00811380" w:rsidRDefault="003C1AEC" w:rsidP="00715C1A">
      <w:pPr>
        <w:snapToGrid w:val="0"/>
        <w:spacing w:after="120"/>
        <w:rPr>
          <w:sz w:val="20"/>
          <w:lang w:val="en-GB" w:eastAsia="en-US"/>
        </w:rPr>
      </w:pPr>
      <w:r w:rsidRPr="00811380">
        <w:rPr>
          <w:sz w:val="20"/>
          <w:lang w:val="en-GB" w:eastAsia="en-US"/>
        </w:rPr>
        <w:t>The</w:t>
      </w:r>
      <w:r w:rsidR="00715C1A" w:rsidRPr="00811380">
        <w:rPr>
          <w:sz w:val="20"/>
          <w:lang w:val="en-GB" w:eastAsia="en-US"/>
        </w:rPr>
        <w:t xml:space="preserve"> root cause of the ambiguous issue dates back to the Rel-16 RAN1 spec 38.214</w:t>
      </w:r>
      <w:r w:rsidRPr="00811380">
        <w:rPr>
          <w:sz w:val="20"/>
          <w:lang w:val="en-GB" w:eastAsia="en-US"/>
        </w:rPr>
        <w:t xml:space="preserve"> with the switching gap determined with the reported capability from UE.</w:t>
      </w:r>
    </w:p>
    <w:tbl>
      <w:tblPr>
        <w:tblStyle w:val="ad"/>
        <w:tblW w:w="0" w:type="auto"/>
        <w:tblLook w:val="04A0" w:firstRow="1" w:lastRow="0" w:firstColumn="1" w:lastColumn="0" w:noHBand="0" w:noVBand="1"/>
      </w:tblPr>
      <w:tblGrid>
        <w:gridCol w:w="9628"/>
      </w:tblGrid>
      <w:tr w:rsidR="00715C1A" w14:paraId="6EFFB23A" w14:textId="77777777" w:rsidTr="00715C1A">
        <w:tc>
          <w:tcPr>
            <w:tcW w:w="9628" w:type="dxa"/>
          </w:tcPr>
          <w:p w14:paraId="739B2C95" w14:textId="77777777" w:rsidR="00715C1A" w:rsidRPr="00DD2EAB" w:rsidRDefault="00715C1A" w:rsidP="00DD2EAB">
            <w:pPr>
              <w:snapToGrid w:val="0"/>
              <w:spacing w:before="60" w:line="240" w:lineRule="auto"/>
              <w:rPr>
                <w:sz w:val="18"/>
                <w:lang w:eastAsia="en-US"/>
              </w:rPr>
            </w:pPr>
            <w:r w:rsidRPr="00DD2EAB">
              <w:rPr>
                <w:sz w:val="18"/>
                <w:lang w:eastAsia="en-US"/>
              </w:rPr>
              <w:t>6.1.6</w:t>
            </w:r>
            <w:r w:rsidRPr="00DD2EAB">
              <w:rPr>
                <w:sz w:val="18"/>
                <w:lang w:eastAsia="en-US"/>
              </w:rPr>
              <w:tab/>
              <w:t>Uplink switching</w:t>
            </w:r>
          </w:p>
          <w:p w14:paraId="21DE7A1F" w14:textId="58DDD872" w:rsidR="00715C1A" w:rsidRDefault="00715C1A" w:rsidP="00DD2EAB">
            <w:pPr>
              <w:snapToGrid w:val="0"/>
              <w:spacing w:after="60" w:line="240" w:lineRule="auto"/>
              <w:rPr>
                <w:lang w:eastAsia="en-US"/>
              </w:rPr>
            </w:pPr>
            <w:r w:rsidRPr="00DD2EAB">
              <w:rPr>
                <w:sz w:val="18"/>
                <w:lang w:eastAsia="en-US"/>
              </w:rPr>
              <w:t xml:space="preserve">The UE may omit uplink transmission during the uplink switching gap </w:t>
            </w:r>
            <m:oMath>
              <m:sSub>
                <m:sSubPr>
                  <m:ctrlPr>
                    <w:rPr>
                      <w:rFonts w:ascii="Cambria Math" w:hAnsi="Cambria Math"/>
                      <w:i/>
                      <w:sz w:val="18"/>
                      <w:lang w:eastAsia="en-US"/>
                    </w:rPr>
                  </m:ctrlPr>
                </m:sSubPr>
                <m:e>
                  <m:r>
                    <w:rPr>
                      <w:rFonts w:ascii="Cambria Math" w:hAnsi="Cambria Math"/>
                      <w:sz w:val="18"/>
                      <w:lang w:eastAsia="en-US"/>
                    </w:rPr>
                    <m:t>N</m:t>
                  </m:r>
                </m:e>
                <m:sub>
                  <m:r>
                    <m:rPr>
                      <m:nor/>
                    </m:rPr>
                    <w:rPr>
                      <w:rFonts w:ascii="Cambria Math" w:hAnsi="Cambria Math"/>
                      <w:sz w:val="18"/>
                      <w:lang w:eastAsia="en-US"/>
                    </w:rPr>
                    <m:t>Tx1-Tx2</m:t>
                  </m:r>
                </m:sub>
              </m:sSub>
              <m:r>
                <w:rPr>
                  <w:rFonts w:ascii="Cambria Math" w:hAnsi="Cambria Math"/>
                  <w:sz w:val="18"/>
                  <w:lang w:eastAsia="en-US"/>
                </w:rPr>
                <m:t xml:space="preserve"> </m:t>
              </m:r>
            </m:oMath>
            <w:r w:rsidRPr="00DD2EAB">
              <w:rPr>
                <w:sz w:val="18"/>
                <w:lang w:eastAsia="en-US"/>
              </w:rPr>
              <w:t xml:space="preserve">if the conditions defined in this clause are met and the UE is configured with </w:t>
            </w:r>
            <w:r w:rsidRPr="00DD2EAB">
              <w:rPr>
                <w:i/>
                <w:sz w:val="18"/>
                <w:lang w:eastAsia="en-US"/>
              </w:rPr>
              <w:t>uplinkTxSwitching</w:t>
            </w:r>
            <w:r w:rsidRPr="00DD2EAB">
              <w:rPr>
                <w:sz w:val="18"/>
                <w:lang w:eastAsia="en-US"/>
              </w:rPr>
              <w:t xml:space="preserve">. </w:t>
            </w:r>
            <w:r w:rsidRPr="00DD2EAB">
              <w:rPr>
                <w:sz w:val="18"/>
                <w:highlight w:val="yellow"/>
                <w:lang w:eastAsia="en-US"/>
              </w:rPr>
              <w:t xml:space="preserve">The switching gap </w:t>
            </w:r>
            <m:oMath>
              <m:sSub>
                <m:sSubPr>
                  <m:ctrlPr>
                    <w:rPr>
                      <w:rFonts w:ascii="Cambria Math" w:hAnsi="Cambria Math"/>
                      <w:i/>
                      <w:sz w:val="18"/>
                      <w:highlight w:val="yellow"/>
                    </w:rPr>
                  </m:ctrlPr>
                </m:sSubPr>
                <m:e>
                  <m:r>
                    <w:rPr>
                      <w:rFonts w:ascii="Cambria Math" w:hAnsi="Cambria Math"/>
                      <w:sz w:val="18"/>
                      <w:highlight w:val="yellow"/>
                    </w:rPr>
                    <m:t>N</m:t>
                  </m:r>
                </m:e>
                <m:sub>
                  <m:r>
                    <m:rPr>
                      <m:nor/>
                    </m:rPr>
                    <w:rPr>
                      <w:rFonts w:ascii="Cambria Math" w:hAnsi="Cambria Math"/>
                      <w:sz w:val="18"/>
                      <w:highlight w:val="yellow"/>
                    </w:rPr>
                    <m:t>Tx1-Tx2</m:t>
                  </m:r>
                </m:sub>
              </m:sSub>
              <m:r>
                <w:rPr>
                  <w:rFonts w:ascii="Cambria Math" w:hAnsi="Cambria Math"/>
                  <w:sz w:val="18"/>
                  <w:highlight w:val="yellow"/>
                </w:rPr>
                <m:t xml:space="preserve"> </m:t>
              </m:r>
            </m:oMath>
            <w:r w:rsidRPr="00DD2EAB">
              <w:rPr>
                <w:sz w:val="18"/>
                <w:highlight w:val="yellow"/>
                <w:lang w:eastAsia="en-US"/>
              </w:rPr>
              <w:t xml:space="preserve">is indicated by UE capability </w:t>
            </w:r>
            <w:proofErr w:type="spellStart"/>
            <w:r w:rsidRPr="00DD2EAB">
              <w:rPr>
                <w:i/>
                <w:sz w:val="18"/>
                <w:highlight w:val="yellow"/>
                <w:lang w:eastAsia="en-US"/>
              </w:rPr>
              <w:t>uplinkTxSwitchin</w:t>
            </w:r>
            <w:r w:rsidR="003C1AEC" w:rsidRPr="00DD2EAB">
              <w:rPr>
                <w:i/>
                <w:sz w:val="18"/>
                <w:highlight w:val="yellow"/>
                <w:lang w:eastAsia="en-US"/>
              </w:rPr>
              <w:t>gPeriod</w:t>
            </w:r>
            <w:proofErr w:type="spellEnd"/>
          </w:p>
        </w:tc>
      </w:tr>
    </w:tbl>
    <w:p w14:paraId="2A648CAE" w14:textId="776875B5" w:rsidR="003C1AEC" w:rsidRPr="00DD2EAB" w:rsidRDefault="003C1AEC" w:rsidP="003C1AEC">
      <w:pPr>
        <w:snapToGrid w:val="0"/>
        <w:spacing w:before="120" w:after="120"/>
        <w:rPr>
          <w:sz w:val="20"/>
          <w:lang w:val="en-GB" w:eastAsia="en-US"/>
        </w:rPr>
      </w:pPr>
      <w:r w:rsidRPr="00DD2EAB">
        <w:rPr>
          <w:sz w:val="20"/>
          <w:lang w:val="en-GB" w:eastAsia="en-US"/>
        </w:rPr>
        <w:t>Actually, the typical solution to such ambiguity is that the network informs of the exact configuration when multiple capabilities are reported. For instance, it is also possible the UE reports different switching options (</w:t>
      </w:r>
      <w:proofErr w:type="spellStart"/>
      <w:r w:rsidRPr="00DD2EAB">
        <w:rPr>
          <w:sz w:val="20"/>
          <w:lang w:val="en-GB" w:eastAsia="en-US"/>
        </w:rPr>
        <w:t>dualUL</w:t>
      </w:r>
      <w:proofErr w:type="spellEnd"/>
      <w:r w:rsidRPr="00DD2EAB">
        <w:rPr>
          <w:sz w:val="20"/>
          <w:lang w:val="en-GB" w:eastAsia="en-US"/>
        </w:rPr>
        <w:t xml:space="preserve">/ </w:t>
      </w:r>
      <w:proofErr w:type="spellStart"/>
      <w:r w:rsidRPr="00DD2EAB">
        <w:rPr>
          <w:sz w:val="20"/>
          <w:lang w:val="en-GB" w:eastAsia="en-US"/>
        </w:rPr>
        <w:t>switchedUL</w:t>
      </w:r>
      <w:proofErr w:type="spellEnd"/>
      <w:r w:rsidRPr="00DD2EAB">
        <w:rPr>
          <w:sz w:val="20"/>
          <w:lang w:val="en-GB" w:eastAsia="en-US"/>
        </w:rPr>
        <w:t>) for a band pair in different BC. And RAN2 had agreement that the network configures switching options to the band pair.</w:t>
      </w:r>
    </w:p>
    <w:p w14:paraId="3471FAD9" w14:textId="15CB0ABD" w:rsidR="003C1AEC" w:rsidRDefault="003C1AEC" w:rsidP="003C1AEC">
      <w:pPr>
        <w:snapToGrid w:val="0"/>
        <w:jc w:val="center"/>
        <w:rPr>
          <w:lang w:val="en-GB" w:eastAsia="en-US"/>
        </w:rPr>
      </w:pPr>
      <w:r>
        <w:rPr>
          <w:noProof/>
        </w:rPr>
        <w:drawing>
          <wp:inline distT="0" distB="0" distL="0" distR="0" wp14:anchorId="735B98D6" wp14:editId="07BA6BED">
            <wp:extent cx="3859200" cy="529200"/>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9200" cy="529200"/>
                    </a:xfrm>
                    <a:prstGeom prst="rect">
                      <a:avLst/>
                    </a:prstGeom>
                  </pic:spPr>
                </pic:pic>
              </a:graphicData>
            </a:graphic>
          </wp:inline>
        </w:drawing>
      </w:r>
    </w:p>
    <w:p w14:paraId="1D4BB54A" w14:textId="7A8616FB" w:rsidR="008A668B" w:rsidRDefault="008A668B" w:rsidP="008A668B">
      <w:pPr>
        <w:pStyle w:val="af3"/>
        <w:snapToGrid w:val="0"/>
        <w:rPr>
          <w:i/>
        </w:rPr>
      </w:pPr>
      <w:bookmarkStart w:id="4" w:name="_Ref149909995"/>
      <w:r w:rsidRPr="00DD2EAB">
        <w:rPr>
          <w:i/>
        </w:rPr>
        <w:t xml:space="preserve">Observation </w:t>
      </w:r>
      <w:r w:rsidRPr="00DD2EAB">
        <w:rPr>
          <w:i/>
        </w:rPr>
        <w:fldChar w:fldCharType="begin"/>
      </w:r>
      <w:r w:rsidRPr="00DD2EAB">
        <w:rPr>
          <w:i/>
        </w:rPr>
        <w:instrText xml:space="preserve"> SEQ Observation \* ARABIC </w:instrText>
      </w:r>
      <w:r w:rsidRPr="00DD2EAB">
        <w:rPr>
          <w:i/>
        </w:rPr>
        <w:fldChar w:fldCharType="separate"/>
      </w:r>
      <w:r w:rsidR="00DD2EAB" w:rsidRPr="00DD2EAB">
        <w:rPr>
          <w:i/>
          <w:noProof/>
        </w:rPr>
        <w:t>3</w:t>
      </w:r>
      <w:r w:rsidRPr="00DD2EAB">
        <w:rPr>
          <w:i/>
        </w:rPr>
        <w:fldChar w:fldCharType="end"/>
      </w:r>
      <w:r w:rsidRPr="00DD2EAB">
        <w:rPr>
          <w:i/>
        </w:rPr>
        <w:t>: It is the typical solution to such ambiguity that the network informs of the exact configuration when multiple capabilities are reported.</w:t>
      </w:r>
      <w:bookmarkEnd w:id="4"/>
    </w:p>
    <w:p w14:paraId="384FA9B2" w14:textId="77777777" w:rsidR="009C7754" w:rsidRPr="009C7754" w:rsidRDefault="009C7754" w:rsidP="009C7754">
      <w:pPr>
        <w:rPr>
          <w:lang w:val="en-GB" w:eastAsia="en-US"/>
        </w:rPr>
      </w:pPr>
    </w:p>
    <w:p w14:paraId="592FF072" w14:textId="11D4EA2F" w:rsidR="00715C1A" w:rsidRPr="00DD2EAB" w:rsidRDefault="003C1AEC" w:rsidP="003C1AEC">
      <w:pPr>
        <w:snapToGrid w:val="0"/>
        <w:spacing w:after="120"/>
        <w:rPr>
          <w:sz w:val="20"/>
          <w:szCs w:val="20"/>
          <w:lang w:val="en-GB" w:eastAsia="en-US"/>
        </w:rPr>
      </w:pPr>
      <w:r w:rsidRPr="00DD2EAB">
        <w:rPr>
          <w:sz w:val="20"/>
          <w:szCs w:val="20"/>
          <w:lang w:val="en-GB" w:eastAsia="en-US"/>
        </w:rPr>
        <w:t>For the Alt.3 in [2], we agree that it is simple and could be feasible as a default solution at the first glance.</w:t>
      </w:r>
      <w:r w:rsidR="00314875" w:rsidRPr="00DD2EAB">
        <w:rPr>
          <w:sz w:val="20"/>
          <w:szCs w:val="20"/>
          <w:lang w:val="en-GB" w:eastAsia="en-US"/>
        </w:rPr>
        <w:t xml:space="preserve"> However, after further research, we found the Alt.3 relies too much on the network implementation with high complexity to be feasible. The UE can report capabilities for the band pair AC in plenty of band combinations</w:t>
      </w:r>
      <w:r w:rsidR="00953B03" w:rsidRPr="00DD2EAB">
        <w:rPr>
          <w:sz w:val="20"/>
          <w:szCs w:val="20"/>
          <w:lang w:val="en-GB" w:eastAsia="en-US"/>
        </w:rPr>
        <w:t xml:space="preserve">, i.e., ABC, ACD, ABCD, ABCE,…, </w:t>
      </w:r>
      <w:proofErr w:type="spellStart"/>
      <w:r w:rsidR="00953B03" w:rsidRPr="00DD2EAB">
        <w:rPr>
          <w:sz w:val="20"/>
          <w:szCs w:val="20"/>
          <w:lang w:val="en-GB" w:eastAsia="en-US"/>
        </w:rPr>
        <w:t>etc</w:t>
      </w:r>
      <w:proofErr w:type="spellEnd"/>
      <w:r w:rsidR="00953B03" w:rsidRPr="00DD2EAB">
        <w:rPr>
          <w:sz w:val="20"/>
          <w:szCs w:val="20"/>
          <w:lang w:val="en-GB" w:eastAsia="en-US"/>
        </w:rPr>
        <w:t xml:space="preserve">, which requires the NW to go through all the BC entries to identify whether there are multiple parent BCs for the </w:t>
      </w:r>
      <w:proofErr w:type="spellStart"/>
      <w:r w:rsidR="00953B03" w:rsidRPr="00DD2EAB">
        <w:rPr>
          <w:sz w:val="20"/>
          <w:szCs w:val="20"/>
          <w:lang w:val="en-GB" w:eastAsia="en-US"/>
        </w:rPr>
        <w:t>fallback</w:t>
      </w:r>
      <w:proofErr w:type="spellEnd"/>
      <w:r w:rsidR="00953B03" w:rsidRPr="00DD2EAB">
        <w:rPr>
          <w:sz w:val="20"/>
          <w:szCs w:val="20"/>
          <w:lang w:val="en-GB" w:eastAsia="en-US"/>
        </w:rPr>
        <w:t xml:space="preserve"> BC with the same band pair but different switching period</w:t>
      </w:r>
      <w:r w:rsidR="00953B03" w:rsidRPr="00DD2EAB">
        <w:rPr>
          <w:sz w:val="20"/>
          <w:szCs w:val="20"/>
        </w:rPr>
        <w:t xml:space="preserve"> </w:t>
      </w:r>
      <w:r w:rsidR="00953B03" w:rsidRPr="00DD2EAB">
        <w:rPr>
          <w:sz w:val="20"/>
          <w:szCs w:val="20"/>
          <w:lang w:val="en-GB" w:eastAsia="en-US"/>
        </w:rPr>
        <w:t xml:space="preserve">to determine the maximum one. We’d like to clarify that it is much more complicated than the two band pairs switching in the three bands with two different </w:t>
      </w:r>
      <w:proofErr w:type="spellStart"/>
      <w:r w:rsidR="00953B03" w:rsidRPr="00DD2EAB">
        <w:rPr>
          <w:sz w:val="20"/>
          <w:szCs w:val="20"/>
          <w:lang w:val="en-GB" w:eastAsia="en-US"/>
        </w:rPr>
        <w:t>sw</w:t>
      </w:r>
      <w:proofErr w:type="spellEnd"/>
      <w:r w:rsidR="00953B03" w:rsidRPr="00DD2EAB">
        <w:rPr>
          <w:sz w:val="20"/>
          <w:szCs w:val="20"/>
          <w:lang w:val="en-GB" w:eastAsia="en-US"/>
        </w:rPr>
        <w:t xml:space="preserve"> periods.</w:t>
      </w:r>
    </w:p>
    <w:tbl>
      <w:tblPr>
        <w:tblStyle w:val="ad"/>
        <w:tblW w:w="0" w:type="auto"/>
        <w:tblLook w:val="04A0" w:firstRow="1" w:lastRow="0" w:firstColumn="1" w:lastColumn="0" w:noHBand="0" w:noVBand="1"/>
      </w:tblPr>
      <w:tblGrid>
        <w:gridCol w:w="9628"/>
      </w:tblGrid>
      <w:tr w:rsidR="003C1AEC" w:rsidRPr="00DD2EAB" w14:paraId="1FCEF5BB" w14:textId="77777777" w:rsidTr="003C1AEC">
        <w:tc>
          <w:tcPr>
            <w:tcW w:w="9628" w:type="dxa"/>
          </w:tcPr>
          <w:p w14:paraId="4A43A2F2" w14:textId="7F8C3055" w:rsidR="003C1AEC" w:rsidRPr="00DD2EAB" w:rsidRDefault="003C1AEC" w:rsidP="003C1AEC">
            <w:pPr>
              <w:tabs>
                <w:tab w:val="center" w:pos="4153"/>
                <w:tab w:val="right" w:pos="8306"/>
              </w:tabs>
              <w:snapToGrid w:val="0"/>
              <w:spacing w:before="60" w:after="60" w:line="240" w:lineRule="auto"/>
              <w:rPr>
                <w:lang w:eastAsia="en-US"/>
              </w:rPr>
            </w:pPr>
            <w:bookmarkStart w:id="5" w:name="_Hlk147933321"/>
            <w:r w:rsidRPr="00DD2EAB">
              <w:rPr>
                <w:rFonts w:ascii="Arial" w:hAnsi="Arial" w:cs="Arial"/>
                <w:bCs/>
                <w:iCs/>
                <w:sz w:val="18"/>
                <w:lang w:eastAsia="zh-CN"/>
              </w:rPr>
              <w:lastRenderedPageBreak/>
              <w:t>Alt.3: The maximum switch period capability is applied for each band pair between A+B+C+D and A+B+C+E</w:t>
            </w:r>
            <w:bookmarkEnd w:id="5"/>
            <w:r w:rsidRPr="00DD2EAB">
              <w:rPr>
                <w:rFonts w:ascii="Arial" w:hAnsi="Arial" w:cs="Arial"/>
                <w:bCs/>
                <w:iCs/>
                <w:sz w:val="18"/>
                <w:lang w:eastAsia="zh-CN"/>
              </w:rPr>
              <w:t>.</w:t>
            </w:r>
          </w:p>
        </w:tc>
      </w:tr>
    </w:tbl>
    <w:p w14:paraId="2757346C" w14:textId="354960ED" w:rsidR="008A668B" w:rsidRPr="00DD2EAB" w:rsidRDefault="008A668B" w:rsidP="008A668B">
      <w:pPr>
        <w:pStyle w:val="af3"/>
        <w:snapToGrid w:val="0"/>
        <w:rPr>
          <w:i/>
        </w:rPr>
      </w:pPr>
      <w:bookmarkStart w:id="6" w:name="_Ref149909998"/>
      <w:r w:rsidRPr="00DD2EAB">
        <w:rPr>
          <w:i/>
        </w:rPr>
        <w:t xml:space="preserve">Observation </w:t>
      </w:r>
      <w:r w:rsidRPr="00DD2EAB">
        <w:rPr>
          <w:i/>
        </w:rPr>
        <w:fldChar w:fldCharType="begin"/>
      </w:r>
      <w:r w:rsidRPr="00DD2EAB">
        <w:rPr>
          <w:i/>
        </w:rPr>
        <w:instrText xml:space="preserve"> SEQ Observation \* ARABIC </w:instrText>
      </w:r>
      <w:r w:rsidRPr="00DD2EAB">
        <w:rPr>
          <w:i/>
        </w:rPr>
        <w:fldChar w:fldCharType="separate"/>
      </w:r>
      <w:r w:rsidR="00DD2EAB" w:rsidRPr="00DD2EAB">
        <w:rPr>
          <w:i/>
          <w:noProof/>
        </w:rPr>
        <w:t>4</w:t>
      </w:r>
      <w:r w:rsidRPr="00DD2EAB">
        <w:rPr>
          <w:i/>
        </w:rPr>
        <w:fldChar w:fldCharType="end"/>
      </w:r>
      <w:r w:rsidRPr="00DD2EAB">
        <w:rPr>
          <w:i/>
        </w:rPr>
        <w:t xml:space="preserve">: Alt.3 with maximum switching period for each band pair when </w:t>
      </w:r>
      <w:r w:rsidR="00DD2EAB" w:rsidRPr="00DD2EAB">
        <w:rPr>
          <w:i/>
        </w:rPr>
        <w:t xml:space="preserve">there is ambiguity with multiple capability for </w:t>
      </w:r>
      <w:proofErr w:type="spellStart"/>
      <w:r w:rsidR="00DD2EAB" w:rsidRPr="00DD2EAB">
        <w:rPr>
          <w:i/>
        </w:rPr>
        <w:t>fallback</w:t>
      </w:r>
      <w:proofErr w:type="spellEnd"/>
      <w:r w:rsidR="00DD2EAB" w:rsidRPr="00DD2EAB">
        <w:rPr>
          <w:i/>
        </w:rPr>
        <w:t xml:space="preserve"> combination</w:t>
      </w:r>
      <w:r w:rsidRPr="00DD2EAB">
        <w:rPr>
          <w:i/>
        </w:rPr>
        <w:t>, requires too high complexity from network implementation to be feasible.</w:t>
      </w:r>
      <w:bookmarkEnd w:id="6"/>
    </w:p>
    <w:p w14:paraId="0084B8FE" w14:textId="5F2F1CFA" w:rsidR="008A668B" w:rsidRPr="00DD2EAB" w:rsidRDefault="008A668B" w:rsidP="008A668B">
      <w:pPr>
        <w:rPr>
          <w:sz w:val="20"/>
          <w:szCs w:val="20"/>
          <w:lang w:val="en-GB" w:eastAsia="en-US"/>
        </w:rPr>
      </w:pPr>
      <w:r w:rsidRPr="00DD2EAB">
        <w:rPr>
          <w:sz w:val="20"/>
          <w:szCs w:val="20"/>
          <w:lang w:val="en-GB" w:eastAsia="en-US"/>
        </w:rPr>
        <w:t>Based on the observations above, we pr</w:t>
      </w:r>
      <w:r w:rsidR="002864A9" w:rsidRPr="00DD2EAB">
        <w:rPr>
          <w:sz w:val="20"/>
          <w:szCs w:val="20"/>
          <w:lang w:val="en-GB" w:eastAsia="en-US"/>
        </w:rPr>
        <w:t>opose:</w:t>
      </w:r>
    </w:p>
    <w:p w14:paraId="05A099EB" w14:textId="250CCEDB" w:rsidR="005D4C85" w:rsidRPr="00DD2EAB" w:rsidRDefault="005D4C85" w:rsidP="002864A9">
      <w:pPr>
        <w:pStyle w:val="af3"/>
        <w:snapToGrid w:val="0"/>
        <w:rPr>
          <w:lang w:val="en-US"/>
        </w:rPr>
      </w:pPr>
      <w:bookmarkStart w:id="7" w:name="_Ref149910014"/>
      <w:r w:rsidRPr="00DD2EAB">
        <w:rPr>
          <w:i/>
        </w:rPr>
        <w:t xml:space="preserve">Proposal </w:t>
      </w:r>
      <w:r w:rsidRPr="00DD2EAB">
        <w:rPr>
          <w:i/>
        </w:rPr>
        <w:fldChar w:fldCharType="begin"/>
      </w:r>
      <w:r w:rsidRPr="00DD2EAB">
        <w:rPr>
          <w:i/>
        </w:rPr>
        <w:instrText xml:space="preserve"> SEQ Proposal \* ARABIC </w:instrText>
      </w:r>
      <w:r w:rsidRPr="00DD2EAB">
        <w:rPr>
          <w:i/>
        </w:rPr>
        <w:fldChar w:fldCharType="separate"/>
      </w:r>
      <w:r w:rsidR="00DD2EAB" w:rsidRPr="00DD2EAB">
        <w:rPr>
          <w:i/>
          <w:noProof/>
        </w:rPr>
        <w:t>1</w:t>
      </w:r>
      <w:r w:rsidRPr="00DD2EAB">
        <w:rPr>
          <w:i/>
        </w:rPr>
        <w:fldChar w:fldCharType="end"/>
      </w:r>
      <w:r w:rsidRPr="00DD2EAB">
        <w:rPr>
          <w:i/>
        </w:rPr>
        <w:t xml:space="preserve">: Considering the solutions is related to not only UE architecture and RF implementation, but also RAN2 signaling rules, we need get the feedback from RAN2 </w:t>
      </w:r>
      <w:r w:rsidR="008A668B" w:rsidRPr="00DD2EAB">
        <w:rPr>
          <w:i/>
        </w:rPr>
        <w:t xml:space="preserve">based on the LS sent in October meeting </w:t>
      </w:r>
      <w:r w:rsidRPr="00DD2EAB">
        <w:rPr>
          <w:i/>
        </w:rPr>
        <w:t>before drawing any conclusion in RAN4 in case of the violation of RAN2 fundamental signal</w:t>
      </w:r>
      <w:r w:rsidR="002864A9" w:rsidRPr="00DD2EAB">
        <w:rPr>
          <w:i/>
        </w:rPr>
        <w:t>l</w:t>
      </w:r>
      <w:r w:rsidRPr="00DD2EAB">
        <w:rPr>
          <w:i/>
        </w:rPr>
        <w:t>ing structures.</w:t>
      </w:r>
      <w:bookmarkEnd w:id="7"/>
    </w:p>
    <w:p w14:paraId="271EB806" w14:textId="77777777" w:rsidR="000C74C9" w:rsidRPr="000C74C9" w:rsidRDefault="000C74C9" w:rsidP="002E7F47">
      <w:pPr>
        <w:keepNext/>
        <w:keepLines/>
        <w:widowControl/>
        <w:pBdr>
          <w:top w:val="single" w:sz="12" w:space="1" w:color="auto"/>
        </w:pBdr>
        <w:tabs>
          <w:tab w:val="left" w:pos="567"/>
        </w:tabs>
        <w:adjustRightInd w:val="0"/>
        <w:snapToGri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33DA0E4A" w:rsidR="000C74C9" w:rsidRPr="00CE621F" w:rsidRDefault="00C33ADE" w:rsidP="002E7F47">
      <w:pPr>
        <w:snapToGrid w:val="0"/>
        <w:spacing w:after="60"/>
        <w:rPr>
          <w:sz w:val="20"/>
          <w:szCs w:val="20"/>
        </w:rPr>
      </w:pPr>
      <w:r w:rsidRPr="00CE621F">
        <w:rPr>
          <w:kern w:val="0"/>
          <w:sz w:val="20"/>
          <w:szCs w:val="20"/>
          <w:lang w:val="en-GB" w:eastAsia="ja-JP"/>
        </w:rPr>
        <w:t xml:space="preserve">This contribution presents </w:t>
      </w:r>
      <w:r w:rsidR="00FA723F" w:rsidRPr="00CE621F">
        <w:rPr>
          <w:sz w:val="20"/>
          <w:szCs w:val="20"/>
        </w:rPr>
        <w:t xml:space="preserve">the </w:t>
      </w:r>
      <w:r w:rsidR="000C74C9" w:rsidRPr="00CE621F">
        <w:rPr>
          <w:sz w:val="20"/>
          <w:szCs w:val="20"/>
        </w:rPr>
        <w:t xml:space="preserve">following </w:t>
      </w:r>
      <w:r w:rsidR="00133A12" w:rsidRPr="00CE621F">
        <w:rPr>
          <w:sz w:val="20"/>
          <w:szCs w:val="20"/>
        </w:rPr>
        <w:t xml:space="preserve">observations and </w:t>
      </w:r>
      <w:r w:rsidR="000C74C9" w:rsidRPr="00CE621F">
        <w:rPr>
          <w:sz w:val="20"/>
          <w:szCs w:val="20"/>
        </w:rPr>
        <w:t>proposals:</w:t>
      </w:r>
    </w:p>
    <w:p w14:paraId="602F0070" w14:textId="591A9C37" w:rsidR="002864A9" w:rsidRPr="00DD2EAB" w:rsidRDefault="002864A9" w:rsidP="002E7F47">
      <w:pPr>
        <w:snapToGrid w:val="0"/>
        <w:spacing w:after="60"/>
        <w:rPr>
          <w:b/>
          <w:sz w:val="20"/>
          <w:szCs w:val="20"/>
        </w:rPr>
      </w:pPr>
      <w:r w:rsidRPr="00DD2EAB">
        <w:rPr>
          <w:b/>
          <w:sz w:val="20"/>
          <w:szCs w:val="20"/>
        </w:rPr>
        <w:fldChar w:fldCharType="begin"/>
      </w:r>
      <w:r w:rsidRPr="00DD2EAB">
        <w:rPr>
          <w:b/>
          <w:sz w:val="20"/>
          <w:szCs w:val="20"/>
        </w:rPr>
        <w:instrText xml:space="preserve"> REF _Ref149909987 \h  \* MERGEFORMAT </w:instrText>
      </w:r>
      <w:r w:rsidRPr="00DD2EAB">
        <w:rPr>
          <w:b/>
          <w:sz w:val="20"/>
          <w:szCs w:val="20"/>
        </w:rPr>
      </w:r>
      <w:r w:rsidRPr="00DD2EAB">
        <w:rPr>
          <w:b/>
          <w:sz w:val="20"/>
          <w:szCs w:val="20"/>
        </w:rPr>
        <w:fldChar w:fldCharType="separate"/>
      </w:r>
      <w:r w:rsidR="00DD2EAB" w:rsidRPr="00DD2EAB">
        <w:rPr>
          <w:b/>
          <w:i/>
          <w:sz w:val="20"/>
          <w:szCs w:val="20"/>
        </w:rPr>
        <w:t xml:space="preserve">Observation </w:t>
      </w:r>
      <w:r w:rsidR="00DD2EAB" w:rsidRPr="00DD2EAB">
        <w:rPr>
          <w:b/>
          <w:i/>
          <w:noProof/>
          <w:sz w:val="20"/>
          <w:szCs w:val="20"/>
        </w:rPr>
        <w:t>1</w:t>
      </w:r>
      <w:r w:rsidR="00DD2EAB" w:rsidRPr="00DD2EAB">
        <w:rPr>
          <w:b/>
          <w:i/>
          <w:sz w:val="20"/>
          <w:szCs w:val="20"/>
        </w:rPr>
        <w:t xml:space="preserve">: </w:t>
      </w:r>
      <w:r w:rsidR="00CE621F">
        <w:rPr>
          <w:b/>
          <w:i/>
          <w:sz w:val="20"/>
          <w:szCs w:val="20"/>
        </w:rPr>
        <w:t>Normally, a</w:t>
      </w:r>
      <w:r w:rsidR="00DD2EAB" w:rsidRPr="00DD2EAB">
        <w:rPr>
          <w:b/>
          <w:i/>
          <w:sz w:val="20"/>
          <w:szCs w:val="20"/>
        </w:rPr>
        <w:t xml:space="preserve"> UE supports the corresponding capability of parent band combination in the fallback band combination from the perspective of UE architecture, i.e., the same switching period for the band pair.</w:t>
      </w:r>
      <w:r w:rsidRPr="00DD2EAB">
        <w:rPr>
          <w:b/>
          <w:sz w:val="20"/>
          <w:szCs w:val="20"/>
        </w:rPr>
        <w:fldChar w:fldCharType="end"/>
      </w:r>
    </w:p>
    <w:p w14:paraId="18BB895C" w14:textId="0737EDB8" w:rsidR="002864A9" w:rsidRPr="00CE621F" w:rsidRDefault="002864A9" w:rsidP="002E7F47">
      <w:pPr>
        <w:snapToGrid w:val="0"/>
        <w:spacing w:after="60"/>
        <w:rPr>
          <w:b/>
          <w:sz w:val="20"/>
          <w:szCs w:val="20"/>
        </w:rPr>
      </w:pPr>
      <w:r w:rsidRPr="00CE621F">
        <w:rPr>
          <w:b/>
          <w:sz w:val="20"/>
          <w:szCs w:val="20"/>
        </w:rPr>
        <w:fldChar w:fldCharType="begin"/>
      </w:r>
      <w:r w:rsidRPr="00CE621F">
        <w:rPr>
          <w:b/>
          <w:sz w:val="20"/>
          <w:szCs w:val="20"/>
        </w:rPr>
        <w:instrText xml:space="preserve"> REF _Ref149909992 \h  \* MERGEFORMAT </w:instrText>
      </w:r>
      <w:r w:rsidRPr="00CE621F">
        <w:rPr>
          <w:b/>
          <w:sz w:val="20"/>
          <w:szCs w:val="20"/>
        </w:rPr>
      </w:r>
      <w:r w:rsidRPr="00CE621F">
        <w:rPr>
          <w:b/>
          <w:sz w:val="20"/>
          <w:szCs w:val="20"/>
        </w:rPr>
        <w:fldChar w:fldCharType="separate"/>
      </w:r>
      <w:r w:rsidR="00CE621F" w:rsidRPr="00CE621F">
        <w:rPr>
          <w:b/>
          <w:sz w:val="20"/>
          <w:szCs w:val="20"/>
        </w:rPr>
        <w:t xml:space="preserve">Observation </w:t>
      </w:r>
      <w:r w:rsidR="00CE621F" w:rsidRPr="00CE621F">
        <w:rPr>
          <w:b/>
          <w:noProof/>
          <w:sz w:val="20"/>
          <w:szCs w:val="20"/>
        </w:rPr>
        <w:t>2</w:t>
      </w:r>
      <w:r w:rsidR="00CE621F" w:rsidRPr="00CE621F">
        <w:rPr>
          <w:b/>
          <w:sz w:val="20"/>
          <w:szCs w:val="20"/>
        </w:rPr>
        <w:t>:</w:t>
      </w:r>
      <w:r w:rsidR="00CE621F" w:rsidRPr="00CE621F">
        <w:rPr>
          <w:b/>
          <w:i/>
          <w:sz w:val="20"/>
          <w:szCs w:val="20"/>
        </w:rPr>
        <w:t xml:space="preserve"> Alt.2 with UE indicating preferred capability is not aligned with the fallback rule in RAN2.</w:t>
      </w:r>
      <w:r w:rsidRPr="00CE621F">
        <w:rPr>
          <w:b/>
          <w:sz w:val="20"/>
          <w:szCs w:val="20"/>
        </w:rPr>
        <w:fldChar w:fldCharType="end"/>
      </w:r>
    </w:p>
    <w:p w14:paraId="37FEA33E" w14:textId="07A75E93" w:rsidR="002864A9" w:rsidRPr="00DD2EAB" w:rsidRDefault="002864A9" w:rsidP="002E7F47">
      <w:pPr>
        <w:snapToGrid w:val="0"/>
        <w:spacing w:after="60"/>
        <w:rPr>
          <w:b/>
          <w:sz w:val="20"/>
          <w:szCs w:val="20"/>
        </w:rPr>
      </w:pPr>
      <w:r w:rsidRPr="00DD2EAB">
        <w:rPr>
          <w:b/>
          <w:sz w:val="20"/>
          <w:szCs w:val="20"/>
        </w:rPr>
        <w:fldChar w:fldCharType="begin"/>
      </w:r>
      <w:r w:rsidRPr="00DD2EAB">
        <w:rPr>
          <w:b/>
          <w:sz w:val="20"/>
          <w:szCs w:val="20"/>
        </w:rPr>
        <w:instrText xml:space="preserve"> REF _Ref149909995 \h  \* MERGEFORMAT </w:instrText>
      </w:r>
      <w:r w:rsidRPr="00DD2EAB">
        <w:rPr>
          <w:b/>
          <w:sz w:val="20"/>
          <w:szCs w:val="20"/>
        </w:rPr>
      </w:r>
      <w:r w:rsidRPr="00DD2EAB">
        <w:rPr>
          <w:b/>
          <w:sz w:val="20"/>
          <w:szCs w:val="20"/>
        </w:rPr>
        <w:fldChar w:fldCharType="separate"/>
      </w:r>
      <w:r w:rsidR="00DD2EAB" w:rsidRPr="00DD2EAB">
        <w:rPr>
          <w:b/>
          <w:i/>
          <w:sz w:val="20"/>
          <w:szCs w:val="20"/>
        </w:rPr>
        <w:t xml:space="preserve">Observation </w:t>
      </w:r>
      <w:r w:rsidR="00DD2EAB" w:rsidRPr="00DD2EAB">
        <w:rPr>
          <w:b/>
          <w:i/>
          <w:noProof/>
          <w:sz w:val="20"/>
          <w:szCs w:val="20"/>
        </w:rPr>
        <w:t>3</w:t>
      </w:r>
      <w:r w:rsidR="00DD2EAB" w:rsidRPr="00DD2EAB">
        <w:rPr>
          <w:b/>
          <w:i/>
          <w:sz w:val="20"/>
          <w:szCs w:val="20"/>
        </w:rPr>
        <w:t>: It is the typical solution to such ambiguity that the network informs of the exact configuration when multiple capabilities are reported.</w:t>
      </w:r>
      <w:r w:rsidRPr="00DD2EAB">
        <w:rPr>
          <w:b/>
          <w:sz w:val="20"/>
          <w:szCs w:val="20"/>
        </w:rPr>
        <w:fldChar w:fldCharType="end"/>
      </w:r>
    </w:p>
    <w:p w14:paraId="16A6BE98" w14:textId="384AB4F4" w:rsidR="002864A9" w:rsidRPr="00DD2EAB" w:rsidRDefault="002864A9" w:rsidP="002E7F47">
      <w:pPr>
        <w:snapToGrid w:val="0"/>
        <w:spacing w:after="60"/>
        <w:rPr>
          <w:b/>
          <w:sz w:val="20"/>
          <w:szCs w:val="20"/>
        </w:rPr>
      </w:pPr>
      <w:r w:rsidRPr="00DD2EAB">
        <w:rPr>
          <w:b/>
          <w:sz w:val="20"/>
          <w:szCs w:val="20"/>
        </w:rPr>
        <w:fldChar w:fldCharType="begin"/>
      </w:r>
      <w:r w:rsidRPr="00DD2EAB">
        <w:rPr>
          <w:b/>
          <w:sz w:val="20"/>
          <w:szCs w:val="20"/>
        </w:rPr>
        <w:instrText xml:space="preserve"> REF _Ref149909998 \h  \* MERGEFORMAT </w:instrText>
      </w:r>
      <w:r w:rsidRPr="00DD2EAB">
        <w:rPr>
          <w:b/>
          <w:sz w:val="20"/>
          <w:szCs w:val="20"/>
        </w:rPr>
      </w:r>
      <w:r w:rsidRPr="00DD2EAB">
        <w:rPr>
          <w:b/>
          <w:sz w:val="20"/>
          <w:szCs w:val="20"/>
        </w:rPr>
        <w:fldChar w:fldCharType="separate"/>
      </w:r>
      <w:r w:rsidR="00DD2EAB" w:rsidRPr="00DD2EAB">
        <w:rPr>
          <w:b/>
          <w:i/>
          <w:sz w:val="20"/>
          <w:szCs w:val="20"/>
        </w:rPr>
        <w:t xml:space="preserve">Observation </w:t>
      </w:r>
      <w:r w:rsidR="00DD2EAB" w:rsidRPr="00DD2EAB">
        <w:rPr>
          <w:b/>
          <w:i/>
          <w:noProof/>
          <w:sz w:val="20"/>
          <w:szCs w:val="20"/>
        </w:rPr>
        <w:t>4</w:t>
      </w:r>
      <w:r w:rsidR="00DD2EAB" w:rsidRPr="00DD2EAB">
        <w:rPr>
          <w:b/>
          <w:i/>
          <w:sz w:val="20"/>
          <w:szCs w:val="20"/>
        </w:rPr>
        <w:t>: Alt.3 with maximum switching period for each band pair when there is ambiguity with multiple capability for fallback combination, requires too high complexity from network implementation to be feasible.</w:t>
      </w:r>
      <w:r w:rsidRPr="00DD2EAB">
        <w:rPr>
          <w:b/>
          <w:sz w:val="20"/>
          <w:szCs w:val="20"/>
        </w:rPr>
        <w:fldChar w:fldCharType="end"/>
      </w:r>
    </w:p>
    <w:p w14:paraId="440FFD0B" w14:textId="77777777" w:rsidR="002864A9" w:rsidRPr="00DD2EAB" w:rsidRDefault="002864A9" w:rsidP="002E7F47">
      <w:pPr>
        <w:snapToGrid w:val="0"/>
        <w:spacing w:after="60"/>
        <w:rPr>
          <w:b/>
          <w:sz w:val="20"/>
          <w:szCs w:val="20"/>
        </w:rPr>
      </w:pPr>
    </w:p>
    <w:p w14:paraId="346B677D" w14:textId="530BCB59" w:rsidR="002864A9" w:rsidRPr="00DD2EAB" w:rsidRDefault="002864A9" w:rsidP="002E7F47">
      <w:pPr>
        <w:snapToGrid w:val="0"/>
        <w:spacing w:after="60"/>
        <w:rPr>
          <w:b/>
          <w:sz w:val="20"/>
          <w:szCs w:val="20"/>
        </w:rPr>
      </w:pPr>
      <w:r w:rsidRPr="00DD2EAB">
        <w:rPr>
          <w:b/>
          <w:sz w:val="20"/>
          <w:szCs w:val="20"/>
        </w:rPr>
        <w:fldChar w:fldCharType="begin"/>
      </w:r>
      <w:r w:rsidRPr="00DD2EAB">
        <w:rPr>
          <w:b/>
          <w:sz w:val="20"/>
          <w:szCs w:val="20"/>
        </w:rPr>
        <w:instrText xml:space="preserve"> REF _Ref149910014 \h  \* MERGEFORMAT </w:instrText>
      </w:r>
      <w:r w:rsidRPr="00DD2EAB">
        <w:rPr>
          <w:b/>
          <w:sz w:val="20"/>
          <w:szCs w:val="20"/>
        </w:rPr>
      </w:r>
      <w:r w:rsidRPr="00DD2EAB">
        <w:rPr>
          <w:b/>
          <w:sz w:val="20"/>
          <w:szCs w:val="20"/>
        </w:rPr>
        <w:fldChar w:fldCharType="separate"/>
      </w:r>
      <w:r w:rsidR="00DD2EAB" w:rsidRPr="00DD2EAB">
        <w:rPr>
          <w:b/>
          <w:i/>
          <w:sz w:val="20"/>
          <w:szCs w:val="20"/>
        </w:rPr>
        <w:t xml:space="preserve">Proposal </w:t>
      </w:r>
      <w:r w:rsidR="00DD2EAB" w:rsidRPr="00DD2EAB">
        <w:rPr>
          <w:b/>
          <w:i/>
          <w:noProof/>
          <w:sz w:val="20"/>
          <w:szCs w:val="20"/>
        </w:rPr>
        <w:t>1</w:t>
      </w:r>
      <w:r w:rsidR="00DD2EAB" w:rsidRPr="00DD2EAB">
        <w:rPr>
          <w:b/>
          <w:i/>
          <w:sz w:val="20"/>
          <w:szCs w:val="20"/>
        </w:rPr>
        <w:t xml:space="preserve">: </w:t>
      </w:r>
      <w:r w:rsidR="00DD2EAB" w:rsidRPr="00DD2EAB">
        <w:rPr>
          <w:b/>
          <w:i/>
          <w:kern w:val="0"/>
          <w:sz w:val="20"/>
          <w:szCs w:val="20"/>
        </w:rPr>
        <w:t xml:space="preserve">Considering the solutions is related to not only UE architecture and RF implementation, but also RAN2 signaling rules, we need get the feedback from RAN2 </w:t>
      </w:r>
      <w:r w:rsidR="00DD2EAB" w:rsidRPr="00DD2EAB">
        <w:rPr>
          <w:b/>
          <w:i/>
          <w:sz w:val="20"/>
          <w:szCs w:val="20"/>
        </w:rPr>
        <w:t xml:space="preserve">based on the LS sent in October meeting </w:t>
      </w:r>
      <w:r w:rsidR="00DD2EAB" w:rsidRPr="00DD2EAB">
        <w:rPr>
          <w:b/>
          <w:i/>
          <w:kern w:val="0"/>
          <w:sz w:val="20"/>
          <w:szCs w:val="20"/>
        </w:rPr>
        <w:t xml:space="preserve">before drawing any conclusion in RAN4 in case of the violation of RAN2 fundamental </w:t>
      </w:r>
      <w:proofErr w:type="spellStart"/>
      <w:r w:rsidR="00DD2EAB" w:rsidRPr="00DD2EAB">
        <w:rPr>
          <w:b/>
          <w:i/>
          <w:kern w:val="0"/>
          <w:sz w:val="20"/>
          <w:szCs w:val="20"/>
        </w:rPr>
        <w:t>signalling</w:t>
      </w:r>
      <w:proofErr w:type="spellEnd"/>
      <w:r w:rsidR="00DD2EAB" w:rsidRPr="00DD2EAB">
        <w:rPr>
          <w:b/>
          <w:i/>
          <w:kern w:val="0"/>
          <w:sz w:val="20"/>
          <w:szCs w:val="20"/>
        </w:rPr>
        <w:t xml:space="preserve"> structures.</w:t>
      </w:r>
      <w:r w:rsidRPr="00DD2EAB">
        <w:rPr>
          <w:b/>
          <w:sz w:val="20"/>
          <w:szCs w:val="20"/>
        </w:rPr>
        <w:fldChar w:fldCharType="end"/>
      </w:r>
    </w:p>
    <w:p w14:paraId="65A4A536" w14:textId="77777777" w:rsidR="00DC6310"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2AA4F9A" w14:textId="5AC90F1C" w:rsidR="00F64899"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[1] </w:t>
      </w:r>
      <w:r w:rsidR="00EB4FB4">
        <w:rPr>
          <w:sz w:val="20"/>
          <w:szCs w:val="20"/>
        </w:rPr>
        <w:t>R4-231</w:t>
      </w:r>
      <w:r w:rsidR="002C2ED0">
        <w:rPr>
          <w:sz w:val="20"/>
          <w:szCs w:val="20"/>
        </w:rPr>
        <w:t>7774</w:t>
      </w:r>
      <w:r w:rsidR="00EB4FB4">
        <w:rPr>
          <w:sz w:val="20"/>
          <w:szCs w:val="20"/>
        </w:rPr>
        <w:t xml:space="preserve">, </w:t>
      </w:r>
      <w:r w:rsidR="002C2ED0" w:rsidRPr="002C2ED0">
        <w:rPr>
          <w:sz w:val="20"/>
          <w:szCs w:val="20"/>
        </w:rPr>
        <w:t xml:space="preserve">LS on Rel-18 </w:t>
      </w:r>
      <w:proofErr w:type="spellStart"/>
      <w:r w:rsidR="002C2ED0" w:rsidRPr="002C2ED0">
        <w:rPr>
          <w:sz w:val="20"/>
          <w:szCs w:val="20"/>
        </w:rPr>
        <w:t>Tx</w:t>
      </w:r>
      <w:proofErr w:type="spellEnd"/>
      <w:r w:rsidR="002C2ED0" w:rsidRPr="002C2ED0">
        <w:rPr>
          <w:sz w:val="20"/>
          <w:szCs w:val="20"/>
        </w:rPr>
        <w:t xml:space="preserve"> switching enhancement</w:t>
      </w:r>
      <w:r w:rsidR="00EB4FB4">
        <w:rPr>
          <w:sz w:val="20"/>
          <w:szCs w:val="20"/>
        </w:rPr>
        <w:t>, RAN4#10</w:t>
      </w:r>
      <w:r w:rsidR="002C2ED0">
        <w:rPr>
          <w:sz w:val="20"/>
          <w:szCs w:val="20"/>
        </w:rPr>
        <w:t>8bis</w:t>
      </w:r>
    </w:p>
    <w:p w14:paraId="639B3AFD" w14:textId="12320D7B" w:rsidR="00CC1428"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[2] </w:t>
      </w:r>
      <w:r w:rsidR="0051735F">
        <w:rPr>
          <w:sz w:val="20"/>
          <w:szCs w:val="20"/>
        </w:rPr>
        <w:t xml:space="preserve">R4-2317761, </w:t>
      </w:r>
      <w:proofErr w:type="spellStart"/>
      <w:r w:rsidR="0051735F">
        <w:rPr>
          <w:sz w:val="20"/>
          <w:szCs w:val="20"/>
        </w:rPr>
        <w:t>draft</w:t>
      </w:r>
      <w:r w:rsidR="0051735F" w:rsidRPr="002C2ED0">
        <w:rPr>
          <w:sz w:val="20"/>
          <w:szCs w:val="20"/>
        </w:rPr>
        <w:t>LS</w:t>
      </w:r>
      <w:proofErr w:type="spellEnd"/>
      <w:r w:rsidR="0051735F" w:rsidRPr="002C2ED0">
        <w:rPr>
          <w:sz w:val="20"/>
          <w:szCs w:val="20"/>
        </w:rPr>
        <w:t xml:space="preserve"> on Rel-18 </w:t>
      </w:r>
      <w:proofErr w:type="spellStart"/>
      <w:r w:rsidR="0051735F" w:rsidRPr="002C2ED0">
        <w:rPr>
          <w:sz w:val="20"/>
          <w:szCs w:val="20"/>
        </w:rPr>
        <w:t>Tx</w:t>
      </w:r>
      <w:proofErr w:type="spellEnd"/>
      <w:r w:rsidR="0051735F" w:rsidRPr="002C2ED0">
        <w:rPr>
          <w:sz w:val="20"/>
          <w:szCs w:val="20"/>
        </w:rPr>
        <w:t xml:space="preserve"> switching enhancement</w:t>
      </w:r>
      <w:r w:rsidR="0051735F">
        <w:rPr>
          <w:sz w:val="20"/>
          <w:szCs w:val="20"/>
        </w:rPr>
        <w:t>, RAN4#108bis</w:t>
      </w:r>
    </w:p>
    <w:p w14:paraId="78B2FA04" w14:textId="5E7239F8" w:rsidR="000A6D7F" w:rsidRDefault="000A6D7F"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[3] R2-2306912, </w:t>
      </w:r>
      <w:r w:rsidRPr="00F64899">
        <w:rPr>
          <w:sz w:val="20"/>
          <w:szCs w:val="20"/>
        </w:rPr>
        <w:t xml:space="preserve">UE capability reporting for Rel-18 UL </w:t>
      </w:r>
      <w:proofErr w:type="spellStart"/>
      <w:r w:rsidRPr="00F64899">
        <w:rPr>
          <w:sz w:val="20"/>
          <w:szCs w:val="20"/>
        </w:rPr>
        <w:t>Tx</w:t>
      </w:r>
      <w:proofErr w:type="spellEnd"/>
      <w:r w:rsidRPr="00F64899">
        <w:rPr>
          <w:sz w:val="20"/>
          <w:szCs w:val="20"/>
        </w:rPr>
        <w:t xml:space="preserve"> switching enhancements</w:t>
      </w:r>
      <w:r>
        <w:rPr>
          <w:sz w:val="20"/>
          <w:szCs w:val="20"/>
        </w:rPr>
        <w:t xml:space="preserve">, RAN2#122 </w:t>
      </w:r>
    </w:p>
    <w:p w14:paraId="3D75C08B" w14:textId="56B357CF" w:rsidR="00325E1D" w:rsidRDefault="00325E1D"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[4] </w:t>
      </w:r>
      <w:r w:rsidRPr="00325E1D">
        <w:rPr>
          <w:sz w:val="20"/>
          <w:szCs w:val="20"/>
        </w:rPr>
        <w:t>R4-2315230</w:t>
      </w:r>
      <w:r>
        <w:rPr>
          <w:sz w:val="20"/>
          <w:szCs w:val="20"/>
        </w:rPr>
        <w:t>,</w:t>
      </w:r>
      <w:r w:rsidRPr="00325E1D">
        <w:rPr>
          <w:sz w:val="20"/>
          <w:szCs w:val="20"/>
        </w:rPr>
        <w:t xml:space="preserve"> Remaining issues on Rel-18 Multi-carrier enhancements</w:t>
      </w:r>
      <w:r>
        <w:rPr>
          <w:sz w:val="20"/>
          <w:szCs w:val="20"/>
        </w:rPr>
        <w:t>, RAN4#108bis</w:t>
      </w:r>
    </w:p>
    <w:p w14:paraId="4356EC45" w14:textId="77777777" w:rsidR="000A6D7F" w:rsidRPr="00980688" w:rsidRDefault="000A6D7F" w:rsidP="002E7F47">
      <w:pPr>
        <w:keepNext/>
        <w:keepLines/>
        <w:widowControl/>
        <w:pBdr>
          <w:top w:val="single" w:sz="12" w:space="1" w:color="auto"/>
        </w:pBdr>
        <w:tabs>
          <w:tab w:val="left" w:pos="567"/>
        </w:tabs>
        <w:adjustRightInd w:val="0"/>
        <w:snapToGrid w:val="0"/>
        <w:ind w:left="510" w:hanging="510"/>
        <w:rPr>
          <w:sz w:val="20"/>
          <w:szCs w:val="20"/>
        </w:rPr>
      </w:pPr>
    </w:p>
    <w:p w14:paraId="459DFE84" w14:textId="74B81AF2" w:rsidR="00EB4FB4"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 </w:t>
      </w:r>
      <w:r w:rsidR="00EB4FB4" w:rsidRPr="00EB4FB4">
        <w:rPr>
          <w:sz w:val="20"/>
          <w:szCs w:val="20"/>
        </w:rPr>
        <w:t xml:space="preserve"> </w:t>
      </w:r>
      <w:r w:rsidR="00EB4FB4" w:rsidRPr="00EB4FB4">
        <w:rPr>
          <w:sz w:val="20"/>
          <w:szCs w:val="20"/>
        </w:rPr>
        <w:cr/>
      </w:r>
    </w:p>
    <w:p w14:paraId="66DDC202" w14:textId="771F9D2B" w:rsidR="00DD31EB" w:rsidRDefault="00DD31EB" w:rsidP="002E7F47">
      <w:pPr>
        <w:keepNext/>
        <w:keepLines/>
        <w:widowControl/>
        <w:pBdr>
          <w:top w:val="single" w:sz="12" w:space="1" w:color="auto"/>
        </w:pBdr>
        <w:tabs>
          <w:tab w:val="left" w:pos="567"/>
        </w:tabs>
        <w:adjustRightInd w:val="0"/>
        <w:snapToGrid w:val="0"/>
        <w:ind w:left="510" w:hanging="510"/>
        <w:rPr>
          <w:sz w:val="20"/>
          <w:szCs w:val="20"/>
        </w:rPr>
      </w:pPr>
    </w:p>
    <w:sectPr w:rsidR="00DD31EB" w:rsidSect="00385020">
      <w:headerReference w:type="default" r:id="rId10"/>
      <w:pgSz w:w="11906" w:h="16838"/>
      <w:pgMar w:top="1418" w:right="1134" w:bottom="1418" w:left="1134"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636A" w16cid:durableId="287D56E0"/>
  <w16cid:commentId w16cid:paraId="58AAA377" w16cid:durableId="287D5203"/>
  <w16cid:commentId w16cid:paraId="49DFD5BA" w16cid:durableId="287D4D22"/>
  <w16cid:commentId w16cid:paraId="19B586E2" w16cid:durableId="287D4D23"/>
  <w16cid:commentId w16cid:paraId="6CABE500" w16cid:durableId="287D4D24"/>
  <w16cid:commentId w16cid:paraId="3009272D" w16cid:durableId="287D4D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7F0D8" w14:textId="77777777" w:rsidR="00CA1146" w:rsidRDefault="00CA1146" w:rsidP="00D5618B">
      <w:r>
        <w:separator/>
      </w:r>
    </w:p>
  </w:endnote>
  <w:endnote w:type="continuationSeparator" w:id="0">
    <w:p w14:paraId="2CB55FB5" w14:textId="77777777" w:rsidR="00CA1146" w:rsidRDefault="00CA1146"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311E0" w14:textId="77777777" w:rsidR="00CA1146" w:rsidRDefault="00CA1146" w:rsidP="00D5618B">
      <w:r>
        <w:separator/>
      </w:r>
    </w:p>
  </w:footnote>
  <w:footnote w:type="continuationSeparator" w:id="0">
    <w:p w14:paraId="502547C4" w14:textId="77777777" w:rsidR="00CA1146" w:rsidRDefault="00CA1146"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16"/>
  </w:num>
  <w:num w:numId="4">
    <w:abstractNumId w:val="5"/>
  </w:num>
  <w:num w:numId="5">
    <w:abstractNumId w:val="22"/>
  </w:num>
  <w:num w:numId="6">
    <w:abstractNumId w:val="36"/>
  </w:num>
  <w:num w:numId="7">
    <w:abstractNumId w:val="25"/>
  </w:num>
  <w:num w:numId="8">
    <w:abstractNumId w:val="6"/>
  </w:num>
  <w:num w:numId="9">
    <w:abstractNumId w:val="26"/>
  </w:num>
  <w:num w:numId="10">
    <w:abstractNumId w:val="11"/>
  </w:num>
  <w:num w:numId="11">
    <w:abstractNumId w:val="34"/>
  </w:num>
  <w:num w:numId="12">
    <w:abstractNumId w:val="8"/>
  </w:num>
  <w:num w:numId="13">
    <w:abstractNumId w:val="32"/>
  </w:num>
  <w:num w:numId="14">
    <w:abstractNumId w:val="3"/>
  </w:num>
  <w:num w:numId="15">
    <w:abstractNumId w:val="20"/>
  </w:num>
  <w:num w:numId="16">
    <w:abstractNumId w:val="13"/>
  </w:num>
  <w:num w:numId="17">
    <w:abstractNumId w:val="29"/>
  </w:num>
  <w:num w:numId="18">
    <w:abstractNumId w:val="33"/>
  </w:num>
  <w:num w:numId="19">
    <w:abstractNumId w:val="15"/>
  </w:num>
  <w:num w:numId="20">
    <w:abstractNumId w:val="35"/>
  </w:num>
  <w:num w:numId="21">
    <w:abstractNumId w:val="10"/>
  </w:num>
  <w:num w:numId="22">
    <w:abstractNumId w:val="4"/>
  </w:num>
  <w:num w:numId="23">
    <w:abstractNumId w:val="14"/>
  </w:num>
  <w:num w:numId="24">
    <w:abstractNumId w:val="17"/>
  </w:num>
  <w:num w:numId="25">
    <w:abstractNumId w:val="12"/>
  </w:num>
  <w:num w:numId="26">
    <w:abstractNumId w:val="0"/>
  </w:num>
  <w:num w:numId="27">
    <w:abstractNumId w:val="28"/>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1"/>
  </w:num>
  <w:num w:numId="32">
    <w:abstractNumId w:val="19"/>
  </w:num>
  <w:num w:numId="33">
    <w:abstractNumId w:val="23"/>
  </w:num>
  <w:num w:numId="34">
    <w:abstractNumId w:val="30"/>
  </w:num>
  <w:num w:numId="35">
    <w:abstractNumId w:val="18"/>
  </w:num>
  <w:num w:numId="36">
    <w:abstractNumId w:val="31"/>
  </w:num>
  <w:num w:numId="37">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563"/>
    <w:rsid w:val="000272AF"/>
    <w:rsid w:val="00027CAC"/>
    <w:rsid w:val="0003025B"/>
    <w:rsid w:val="00030957"/>
    <w:rsid w:val="000311B7"/>
    <w:rsid w:val="000328EF"/>
    <w:rsid w:val="0003334A"/>
    <w:rsid w:val="0003382E"/>
    <w:rsid w:val="00034492"/>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B90"/>
    <w:rsid w:val="00214D42"/>
    <w:rsid w:val="00215703"/>
    <w:rsid w:val="002159B3"/>
    <w:rsid w:val="00215B68"/>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4A9"/>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4D43"/>
    <w:rsid w:val="002E5905"/>
    <w:rsid w:val="002E5E07"/>
    <w:rsid w:val="002E5F04"/>
    <w:rsid w:val="002E6A83"/>
    <w:rsid w:val="002E767C"/>
    <w:rsid w:val="002E7F47"/>
    <w:rsid w:val="002F0378"/>
    <w:rsid w:val="002F0C66"/>
    <w:rsid w:val="002F0E6F"/>
    <w:rsid w:val="002F1412"/>
    <w:rsid w:val="002F1ACC"/>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6080"/>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FD2"/>
    <w:rsid w:val="004D7559"/>
    <w:rsid w:val="004D7E6A"/>
    <w:rsid w:val="004E11C5"/>
    <w:rsid w:val="004E12A8"/>
    <w:rsid w:val="004E1789"/>
    <w:rsid w:val="004E1A33"/>
    <w:rsid w:val="004E1B49"/>
    <w:rsid w:val="004E2782"/>
    <w:rsid w:val="004E2887"/>
    <w:rsid w:val="004E31F6"/>
    <w:rsid w:val="004E3836"/>
    <w:rsid w:val="004E3A93"/>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4054"/>
    <w:rsid w:val="00505085"/>
    <w:rsid w:val="0050587B"/>
    <w:rsid w:val="00505AC8"/>
    <w:rsid w:val="0050631F"/>
    <w:rsid w:val="00506EC3"/>
    <w:rsid w:val="005070E5"/>
    <w:rsid w:val="0051054D"/>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12ED"/>
    <w:rsid w:val="00722317"/>
    <w:rsid w:val="007230FF"/>
    <w:rsid w:val="00724EF7"/>
    <w:rsid w:val="007250D4"/>
    <w:rsid w:val="00725311"/>
    <w:rsid w:val="00725364"/>
    <w:rsid w:val="00725C2F"/>
    <w:rsid w:val="0072669A"/>
    <w:rsid w:val="0073058E"/>
    <w:rsid w:val="007309C0"/>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33F7"/>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AFC"/>
    <w:rsid w:val="008C1EEC"/>
    <w:rsid w:val="008C2ADE"/>
    <w:rsid w:val="008C30AE"/>
    <w:rsid w:val="008C315B"/>
    <w:rsid w:val="008C33C2"/>
    <w:rsid w:val="008C3721"/>
    <w:rsid w:val="008C5A9F"/>
    <w:rsid w:val="008C5D12"/>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73A"/>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5BB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11D73"/>
    <w:rsid w:val="00B12225"/>
    <w:rsid w:val="00B129D0"/>
    <w:rsid w:val="00B12C3D"/>
    <w:rsid w:val="00B134B2"/>
    <w:rsid w:val="00B13E3F"/>
    <w:rsid w:val="00B13F0B"/>
    <w:rsid w:val="00B15D42"/>
    <w:rsid w:val="00B163B1"/>
    <w:rsid w:val="00B16532"/>
    <w:rsid w:val="00B23C21"/>
    <w:rsid w:val="00B23D0F"/>
    <w:rsid w:val="00B23EDC"/>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50F08"/>
    <w:rsid w:val="00C51587"/>
    <w:rsid w:val="00C52A47"/>
    <w:rsid w:val="00C5325C"/>
    <w:rsid w:val="00C5342B"/>
    <w:rsid w:val="00C53434"/>
    <w:rsid w:val="00C54A4F"/>
    <w:rsid w:val="00C54DAD"/>
    <w:rsid w:val="00C54E91"/>
    <w:rsid w:val="00C55813"/>
    <w:rsid w:val="00C558FE"/>
    <w:rsid w:val="00C56109"/>
    <w:rsid w:val="00C564B4"/>
    <w:rsid w:val="00C57B25"/>
    <w:rsid w:val="00C60D97"/>
    <w:rsid w:val="00C60DD9"/>
    <w:rsid w:val="00C612FA"/>
    <w:rsid w:val="00C62AAE"/>
    <w:rsid w:val="00C63A08"/>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03"/>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60383"/>
    <w:rsid w:val="00F616F3"/>
    <w:rsid w:val="00F61EB9"/>
    <w:rsid w:val="00F621F6"/>
    <w:rsid w:val="00F629E8"/>
    <w:rsid w:val="00F62A97"/>
    <w:rsid w:val="00F64899"/>
    <w:rsid w:val="00F65E70"/>
    <w:rsid w:val="00F66940"/>
    <w:rsid w:val="00F66C3F"/>
    <w:rsid w:val="00F70206"/>
    <w:rsid w:val="00F70CF3"/>
    <w:rsid w:val="00F710CE"/>
    <w:rsid w:val="00F722EE"/>
    <w:rsid w:val="00F73144"/>
    <w:rsid w:val="00F733CC"/>
    <w:rsid w:val="00F75557"/>
    <w:rsid w:val="00F75BE9"/>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D793C"/>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E7BD4"/>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1"/>
    <w:basedOn w:val="a2"/>
    <w:next w:val="a2"/>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Heading 2 Hidden"/>
    <w:basedOn w:val="a2"/>
    <w:next w:val="a2"/>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list 3"/>
    <w:basedOn w:val="a2"/>
    <w:next w:val="a2"/>
    <w:link w:val="3Char"/>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D5618B"/>
    <w:rPr>
      <w:sz w:val="18"/>
      <w:szCs w:val="18"/>
    </w:rPr>
  </w:style>
  <w:style w:type="paragraph" w:styleId="a7">
    <w:name w:val="footer"/>
    <w:aliases w:val="footer odd,footer,fo,pie de página"/>
    <w:basedOn w:val="a2"/>
    <w:link w:val="Char0"/>
    <w:unhideWhenUsed/>
    <w:qFormat/>
    <w:rsid w:val="00D5618B"/>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8">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9"/>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a"/>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9">
    <w:name w:val="List"/>
    <w:basedOn w:val="a2"/>
    <w:link w:val="Char2"/>
    <w:unhideWhenUsed/>
    <w:qFormat/>
    <w:rsid w:val="00D5618B"/>
    <w:pPr>
      <w:ind w:left="200" w:hangingChars="200" w:hanging="200"/>
      <w:contextualSpacing/>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2"/>
    <w:link w:val="Char3"/>
    <w:uiPriority w:val="34"/>
    <w:qFormat/>
    <w:rsid w:val="00D5618B"/>
    <w:pPr>
      <w:ind w:firstLineChars="200" w:firstLine="420"/>
    </w:pPr>
  </w:style>
  <w:style w:type="paragraph" w:styleId="ab">
    <w:name w:val="Balloon Text"/>
    <w:basedOn w:val="a2"/>
    <w:link w:val="Char4"/>
    <w:unhideWhenUsed/>
    <w:qFormat/>
    <w:rsid w:val="00D5618B"/>
    <w:rPr>
      <w:sz w:val="18"/>
      <w:szCs w:val="18"/>
    </w:rPr>
  </w:style>
  <w:style w:type="character" w:customStyle="1" w:styleId="Char4">
    <w:name w:val="批注框文本 Char"/>
    <w:basedOn w:val="a3"/>
    <w:link w:val="ab"/>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c">
    <w:name w:val="Hyperlink"/>
    <w:unhideWhenUsed/>
    <w:qFormat/>
    <w:rsid w:val="0087668A"/>
    <w:rPr>
      <w:color w:val="0000FF"/>
      <w:u w:val="single"/>
    </w:rPr>
  </w:style>
  <w:style w:type="table" w:styleId="ad">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3"/>
    <w:uiPriority w:val="99"/>
    <w:unhideWhenUsed/>
    <w:qFormat/>
    <w:rsid w:val="00944882"/>
    <w:rPr>
      <w:sz w:val="21"/>
      <w:szCs w:val="21"/>
    </w:rPr>
  </w:style>
  <w:style w:type="paragraph" w:styleId="af">
    <w:name w:val="annotation text"/>
    <w:basedOn w:val="a2"/>
    <w:link w:val="Char5"/>
    <w:uiPriority w:val="99"/>
    <w:unhideWhenUsed/>
    <w:qFormat/>
    <w:rsid w:val="00944882"/>
    <w:pPr>
      <w:jc w:val="left"/>
    </w:pPr>
  </w:style>
  <w:style w:type="character" w:customStyle="1" w:styleId="Char5">
    <w:name w:val="批注文字 Char"/>
    <w:basedOn w:val="a3"/>
    <w:link w:val="af"/>
    <w:uiPriority w:val="99"/>
    <w:qFormat/>
    <w:rsid w:val="00944882"/>
    <w:rPr>
      <w:rFonts w:ascii="CG Times (WN)" w:eastAsia="宋体" w:hAnsi="CG Times (WN)" w:cs="Times New Roman"/>
    </w:rPr>
  </w:style>
  <w:style w:type="paragraph" w:styleId="af0">
    <w:name w:val="annotation subject"/>
    <w:basedOn w:val="af"/>
    <w:next w:val="af"/>
    <w:link w:val="Char6"/>
    <w:unhideWhenUsed/>
    <w:qFormat/>
    <w:rsid w:val="00944882"/>
    <w:rPr>
      <w:b/>
      <w:bCs/>
    </w:rPr>
  </w:style>
  <w:style w:type="character" w:customStyle="1" w:styleId="Char6">
    <w:name w:val="批注主题 Char"/>
    <w:basedOn w:val="Char5"/>
    <w:link w:val="af0"/>
    <w:qFormat/>
    <w:rsid w:val="00944882"/>
    <w:rPr>
      <w:rFonts w:ascii="CG Times (WN)" w:eastAsia="宋体" w:hAnsi="CG Times (WN)" w:cs="Times New Roman"/>
      <w:b/>
      <w:bCs/>
    </w:rPr>
  </w:style>
  <w:style w:type="paragraph" w:styleId="af1">
    <w:name w:val="Document Map"/>
    <w:basedOn w:val="a2"/>
    <w:link w:val="Char7"/>
    <w:unhideWhenUsed/>
    <w:qFormat/>
    <w:rsid w:val="00791112"/>
    <w:rPr>
      <w:rFonts w:ascii="宋体"/>
      <w:sz w:val="18"/>
      <w:szCs w:val="18"/>
    </w:rPr>
  </w:style>
  <w:style w:type="character" w:customStyle="1" w:styleId="Char7">
    <w:name w:val="文档结构图 Char"/>
    <w:basedOn w:val="a3"/>
    <w:link w:val="af1"/>
    <w:qFormat/>
    <w:rsid w:val="00791112"/>
    <w:rPr>
      <w:rFonts w:ascii="宋体" w:eastAsia="宋体" w:hAnsi="CG Times (WN)" w:cs="Times New Roman"/>
      <w:sz w:val="18"/>
      <w:szCs w:val="18"/>
    </w:rPr>
  </w:style>
  <w:style w:type="paragraph" w:styleId="af2">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8"/>
    <w:qFormat/>
    <w:rsid w:val="000F0B4E"/>
    <w:pPr>
      <w:widowControl/>
      <w:spacing w:before="120" w:after="120"/>
      <w:jc w:val="left"/>
    </w:pPr>
    <w:rPr>
      <w:rFonts w:eastAsia="MS Mincho"/>
      <w:b/>
      <w:kern w:val="0"/>
      <w:sz w:val="20"/>
      <w:szCs w:val="20"/>
      <w:lang w:val="en-GB" w:eastAsia="en-US"/>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0F0B4E"/>
    <w:rPr>
      <w:rFonts w:ascii="Times New Roman" w:eastAsia="MS Mincho" w:hAnsi="Times New Roman" w:cs="Times New Roman"/>
      <w:b/>
      <w:kern w:val="0"/>
      <w:sz w:val="20"/>
      <w:szCs w:val="20"/>
      <w:lang w:val="en-GB"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3"/>
    <w:link w:val="2"/>
    <w:qFormat/>
    <w:rsid w:val="00A42CA4"/>
    <w:rPr>
      <w:rFonts w:asciiTheme="majorHAnsi" w:eastAsiaTheme="majorEastAsia" w:hAnsiTheme="majorHAnsi" w:cstheme="majorBidi"/>
      <w:b/>
      <w:bCs/>
      <w:sz w:val="32"/>
      <w:szCs w:val="32"/>
    </w:rPr>
  </w:style>
  <w:style w:type="table" w:customStyle="1" w:styleId="12">
    <w:name w:val="网格型1"/>
    <w:basedOn w:val="a4"/>
    <w:next w:val="a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4"/>
    <w:next w:val="a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3"/>
    <w:link w:val="30"/>
    <w:qFormat/>
    <w:rsid w:val="003E7F0E"/>
    <w:rPr>
      <w:rFonts w:ascii="CG Times (WN)" w:eastAsia="宋体" w:hAnsi="CG Times (WN)" w:cs="Times New Roman"/>
      <w:b/>
      <w:bCs/>
      <w:sz w:val="32"/>
      <w:szCs w:val="32"/>
    </w:rPr>
  </w:style>
  <w:style w:type="table" w:customStyle="1" w:styleId="31">
    <w:name w:val="网格型3"/>
    <w:basedOn w:val="a4"/>
    <w:next w:val="a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3"/>
    <w:uiPriority w:val="99"/>
    <w:qFormat/>
    <w:rsid w:val="00A318DD"/>
    <w:rPr>
      <w:color w:val="808080"/>
    </w:rPr>
  </w:style>
  <w:style w:type="table" w:customStyle="1" w:styleId="TableGrid1">
    <w:name w:val="Table Grid1"/>
    <w:basedOn w:val="a4"/>
    <w:next w:val="ad"/>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A8105F"/>
    <w:rPr>
      <w:rFonts w:ascii="CG Times (WN)" w:eastAsia="宋体" w:hAnsi="CG Times (WN)" w:cs="Times New Roman"/>
      <w:b/>
      <w:bCs/>
      <w:sz w:val="28"/>
      <w:szCs w:val="28"/>
    </w:rPr>
  </w:style>
  <w:style w:type="table" w:customStyle="1" w:styleId="41">
    <w:name w:val="网格型4"/>
    <w:basedOn w:val="a4"/>
    <w:next w:val="ad"/>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1"/>
    <w:qFormat/>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3"/>
    <w:link w:val="6"/>
    <w:qFormat/>
    <w:rsid w:val="00C33ADE"/>
    <w:rPr>
      <w:rFonts w:ascii="Times New Roman" w:eastAsia="宋体" w:hAnsi="Times New Roman" w:cs="Times New Roman"/>
      <w:b/>
      <w:bCs/>
      <w:kern w:val="0"/>
      <w:sz w:val="22"/>
      <w:lang w:eastAsia="en-US"/>
    </w:rPr>
  </w:style>
  <w:style w:type="character" w:customStyle="1" w:styleId="7Char">
    <w:name w:val="标题 7 Char"/>
    <w:basedOn w:val="a3"/>
    <w:link w:val="7"/>
    <w:qFormat/>
    <w:rsid w:val="00C33ADE"/>
    <w:rPr>
      <w:rFonts w:ascii="Times New Roman" w:eastAsia="宋体" w:hAnsi="Times New Roman" w:cs="Times New Roman"/>
      <w:kern w:val="0"/>
      <w:sz w:val="24"/>
      <w:szCs w:val="24"/>
      <w:lang w:eastAsia="en-US"/>
    </w:rPr>
  </w:style>
  <w:style w:type="character" w:customStyle="1" w:styleId="8Char">
    <w:name w:val="标题 8 Char"/>
    <w:basedOn w:val="a3"/>
    <w:link w:val="8"/>
    <w:qFormat/>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3"/>
    <w:link w:val="9"/>
    <w:qFormat/>
    <w:rsid w:val="00C33ADE"/>
    <w:rPr>
      <w:rFonts w:ascii="Arial" w:eastAsia="宋体" w:hAnsi="Arial" w:cs="Arial"/>
      <w:kern w:val="0"/>
      <w:sz w:val="22"/>
      <w:lang w:eastAsia="en-US"/>
    </w:rPr>
  </w:style>
  <w:style w:type="paragraph" w:styleId="af6">
    <w:name w:val="Title"/>
    <w:basedOn w:val="a2"/>
    <w:next w:val="a2"/>
    <w:link w:val="Char9"/>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Char9">
    <w:name w:val="标题 Char"/>
    <w:basedOn w:val="a3"/>
    <w:link w:val="af6"/>
    <w:uiPriority w:val="99"/>
    <w:qFormat/>
    <w:rsid w:val="00C33ADE"/>
    <w:rPr>
      <w:rFonts w:asciiTheme="majorHAnsi" w:eastAsiaTheme="majorEastAsia" w:hAnsiTheme="majorHAnsi" w:cstheme="majorBidi"/>
      <w:spacing w:val="-10"/>
      <w:kern w:val="28"/>
      <w:sz w:val="56"/>
      <w:szCs w:val="56"/>
    </w:rPr>
  </w:style>
  <w:style w:type="paragraph" w:styleId="af7">
    <w:name w:val="Subtitle"/>
    <w:basedOn w:val="a2"/>
    <w:next w:val="a2"/>
    <w:link w:val="Chara"/>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a">
    <w:name w:val="副标题 Char"/>
    <w:basedOn w:val="a3"/>
    <w:link w:val="af7"/>
    <w:uiPriority w:val="11"/>
    <w:rsid w:val="00C33ADE"/>
    <w:rPr>
      <w:color w:val="5A5A5A" w:themeColor="text1" w:themeTint="A5"/>
      <w:spacing w:val="15"/>
      <w:sz w:val="22"/>
    </w:rPr>
  </w:style>
  <w:style w:type="table" w:customStyle="1" w:styleId="50">
    <w:name w:val="网格型5"/>
    <w:basedOn w:val="a4"/>
    <w:next w:val="ad"/>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2"/>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1">
    <w:name w:val="List 2"/>
    <w:basedOn w:val="a2"/>
    <w:link w:val="2Char0"/>
    <w:unhideWhenUsed/>
    <w:qFormat/>
    <w:rsid w:val="004C7E19"/>
    <w:pPr>
      <w:ind w:left="566" w:hanging="283"/>
      <w:contextualSpacing/>
    </w:pPr>
  </w:style>
  <w:style w:type="paragraph" w:styleId="32">
    <w:name w:val="List 3"/>
    <w:basedOn w:val="a2"/>
    <w:unhideWhenUsed/>
    <w:qFormat/>
    <w:rsid w:val="004C7E19"/>
    <w:pPr>
      <w:ind w:left="849" w:hanging="283"/>
      <w:contextualSpacing/>
    </w:pPr>
  </w:style>
  <w:style w:type="paragraph" w:customStyle="1" w:styleId="22">
    <w:name w:val="标题2"/>
    <w:basedOn w:val="a2"/>
    <w:link w:val="2Char1"/>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1">
    <w:name w:val="标题2 Char"/>
    <w:basedOn w:val="a3"/>
    <w:link w:val="22"/>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90">
    <w:name w:val="toc 9"/>
    <w:basedOn w:val="80"/>
    <w:qFormat/>
    <w:rsid w:val="00212EB0"/>
    <w:pPr>
      <w:ind w:left="1418" w:hanging="1418"/>
    </w:pPr>
  </w:style>
  <w:style w:type="paragraph" w:styleId="80">
    <w:name w:val="toc 8"/>
    <w:basedOn w:val="13"/>
    <w:qFormat/>
    <w:rsid w:val="00212EB0"/>
    <w:pPr>
      <w:spacing w:before="180"/>
      <w:ind w:left="2693" w:hanging="2693"/>
    </w:pPr>
    <w:rPr>
      <w:b/>
    </w:rPr>
  </w:style>
  <w:style w:type="paragraph" w:styleId="13">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51">
    <w:name w:val="toc 5"/>
    <w:basedOn w:val="42"/>
    <w:qFormat/>
    <w:rsid w:val="00212EB0"/>
    <w:pPr>
      <w:ind w:left="1701" w:hanging="1701"/>
    </w:pPr>
  </w:style>
  <w:style w:type="paragraph" w:styleId="42">
    <w:name w:val="toc 4"/>
    <w:basedOn w:val="33"/>
    <w:qFormat/>
    <w:rsid w:val="00212EB0"/>
    <w:pPr>
      <w:ind w:left="1418" w:hanging="1418"/>
    </w:pPr>
  </w:style>
  <w:style w:type="paragraph" w:styleId="33">
    <w:name w:val="toc 3"/>
    <w:basedOn w:val="23"/>
    <w:qFormat/>
    <w:rsid w:val="00212EB0"/>
    <w:pPr>
      <w:ind w:left="1134" w:hanging="1134"/>
    </w:pPr>
  </w:style>
  <w:style w:type="paragraph" w:styleId="23">
    <w:name w:val="toc 2"/>
    <w:basedOn w:val="13"/>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60">
    <w:name w:val="toc 6"/>
    <w:basedOn w:val="51"/>
    <w:next w:val="a2"/>
    <w:qFormat/>
    <w:rsid w:val="00212EB0"/>
    <w:pPr>
      <w:ind w:left="1985" w:hanging="1985"/>
    </w:pPr>
  </w:style>
  <w:style w:type="paragraph" w:styleId="70">
    <w:name w:val="toc 7"/>
    <w:basedOn w:val="60"/>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UnresolvedMention">
    <w:name w:val="Unresolved Mention"/>
    <w:basedOn w:val="a3"/>
    <w:uiPriority w:val="99"/>
    <w:unhideWhenUsed/>
    <w:rsid w:val="00212EB0"/>
    <w:rPr>
      <w:color w:val="605E5C"/>
      <w:shd w:val="clear" w:color="auto" w:fill="E1DFDD"/>
    </w:rPr>
  </w:style>
  <w:style w:type="character" w:styleId="af8">
    <w:name w:val="FollowedHyperlink"/>
    <w:aliases w:val="已访问的超链接"/>
    <w:basedOn w:val="a3"/>
    <w:qFormat/>
    <w:rsid w:val="00212EB0"/>
    <w:rPr>
      <w:color w:val="800080" w:themeColor="followedHyperlink"/>
      <w:u w:val="single"/>
    </w:rPr>
  </w:style>
  <w:style w:type="paragraph" w:styleId="24">
    <w:name w:val="index 2"/>
    <w:basedOn w:val="14"/>
    <w:qFormat/>
    <w:rsid w:val="00212EB0"/>
    <w:pPr>
      <w:ind w:left="284"/>
    </w:pPr>
  </w:style>
  <w:style w:type="paragraph" w:styleId="14">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5">
    <w:name w:val="List Number 2"/>
    <w:basedOn w:val="af9"/>
    <w:qFormat/>
    <w:rsid w:val="00212EB0"/>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b"/>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b"/>
    <w:qFormat/>
    <w:rsid w:val="00212EB0"/>
    <w:rPr>
      <w:rFonts w:ascii="Times New Roman" w:eastAsia="MS Mincho" w:hAnsi="Times New Roman" w:cs="Times New Roman"/>
      <w:kern w:val="0"/>
      <w:sz w:val="16"/>
      <w:szCs w:val="20"/>
      <w:lang w:val="en-GB" w:eastAsia="en-GB"/>
    </w:rPr>
  </w:style>
  <w:style w:type="paragraph" w:styleId="26">
    <w:name w:val="List Bullet 2"/>
    <w:basedOn w:val="afc"/>
    <w:link w:val="2Char2"/>
    <w:qFormat/>
    <w:rsid w:val="00212EB0"/>
    <w:pPr>
      <w:ind w:left="851"/>
    </w:pPr>
  </w:style>
  <w:style w:type="paragraph" w:styleId="34">
    <w:name w:val="List Bullet 3"/>
    <w:basedOn w:val="26"/>
    <w:link w:val="3Char0"/>
    <w:qFormat/>
    <w:rsid w:val="00212EB0"/>
    <w:pPr>
      <w:ind w:left="1135"/>
    </w:pPr>
  </w:style>
  <w:style w:type="paragraph" w:styleId="af9">
    <w:name w:val="List Number"/>
    <w:basedOn w:val="a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2"/>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c">
    <w:name w:val="List Bullet"/>
    <w:basedOn w:val="a9"/>
    <w:link w:val="Charc"/>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d">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e"/>
    <w:qFormat/>
    <w:rsid w:val="00212EB0"/>
    <w:pPr>
      <w:keepNext/>
      <w:keepLines/>
      <w:snapToGrid w:val="0"/>
      <w:spacing w:after="180"/>
      <w:ind w:left="0"/>
      <w:jc w:val="center"/>
    </w:pPr>
    <w:rPr>
      <w:kern w:val="2"/>
    </w:rPr>
  </w:style>
  <w:style w:type="paragraph" w:styleId="afe">
    <w:name w:val="Body Text Indent"/>
    <w:basedOn w:val="a2"/>
    <w:link w:val="Chard"/>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Chard">
    <w:name w:val="正文文本缩进 Char"/>
    <w:basedOn w:val="a3"/>
    <w:link w:val="afe"/>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e"/>
    <w:qFormat/>
    <w:rsid w:val="00212EB0"/>
    <w:pPr>
      <w:widowControl/>
      <w:spacing w:after="180"/>
      <w:jc w:val="left"/>
    </w:pPr>
    <w:rPr>
      <w:rFonts w:ascii="CG Times (WN)" w:eastAsia="MS Mincho" w:hAnsi="CG Times (WN)"/>
      <w:kern w:val="0"/>
      <w:sz w:val="20"/>
      <w:szCs w:val="20"/>
      <w:lang w:val="en-GB"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f0"/>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1">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2">
    <w:name w:val="Plain Text"/>
    <w:basedOn w:val="a2"/>
    <w:link w:val="Charf"/>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Charf">
    <w:name w:val="纯文本 Char"/>
    <w:basedOn w:val="a3"/>
    <w:link w:val="aff2"/>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7">
    <w:name w:val="Body Text 2"/>
    <w:basedOn w:val="a2"/>
    <w:link w:val="2Char3"/>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Char3">
    <w:name w:val="正文文本 2 Char"/>
    <w:basedOn w:val="a3"/>
    <w:link w:val="27"/>
    <w:uiPriority w:val="99"/>
    <w:qFormat/>
    <w:rsid w:val="00212EB0"/>
    <w:rPr>
      <w:rFonts w:ascii="Times New Roman" w:eastAsia="Malgun Gothic" w:hAnsi="Times New Roman" w:cs="Times New Roman"/>
      <w:i/>
      <w:kern w:val="0"/>
      <w:sz w:val="20"/>
      <w:szCs w:val="20"/>
      <w:lang w:val="en-GB" w:eastAsia="x-none"/>
    </w:rPr>
  </w:style>
  <w:style w:type="paragraph" w:styleId="35">
    <w:name w:val="Body Text 3"/>
    <w:basedOn w:val="a2"/>
    <w:link w:val="3Char1"/>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Char1">
    <w:name w:val="正文文本 3 Char"/>
    <w:basedOn w:val="a3"/>
    <w:link w:val="35"/>
    <w:uiPriority w:val="99"/>
    <w:qFormat/>
    <w:rsid w:val="00212EB0"/>
    <w:rPr>
      <w:rFonts w:ascii="Times New Roman" w:eastAsia="Osaka" w:hAnsi="Times New Roman" w:cs="Times New Roman"/>
      <w:color w:val="000000"/>
      <w:kern w:val="0"/>
      <w:sz w:val="20"/>
      <w:szCs w:val="20"/>
      <w:lang w:val="en-GB" w:eastAsia="x-none"/>
    </w:rPr>
  </w:style>
  <w:style w:type="character" w:styleId="a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0">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8">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5">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9">
    <w:name w:val="Body Text Indent 2"/>
    <w:basedOn w:val="a2"/>
    <w:link w:val="2Char4"/>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Char4">
    <w:name w:val="正文文本缩进 2 Char"/>
    <w:basedOn w:val="a3"/>
    <w:link w:val="29"/>
    <w:uiPriority w:val="99"/>
    <w:qFormat/>
    <w:rsid w:val="00212EB0"/>
    <w:rPr>
      <w:rFonts w:ascii="Times New Roman" w:eastAsia="MS Mincho" w:hAnsi="Times New Roman" w:cs="Times New Roman"/>
      <w:kern w:val="0"/>
      <w:sz w:val="20"/>
      <w:szCs w:val="20"/>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0"/>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6">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6">
    <w:name w:val="修订1"/>
    <w:hidden/>
    <w:semiHidden/>
    <w:qFormat/>
    <w:rsid w:val="00212EB0"/>
    <w:rPr>
      <w:rFonts w:ascii="Times New Roman" w:eastAsia="Batang" w:hAnsi="Times New Roman" w:cs="Times New Roman"/>
      <w:kern w:val="0"/>
      <w:sz w:val="20"/>
      <w:szCs w:val="20"/>
      <w:lang w:val="en-GB" w:eastAsia="en-US"/>
    </w:rPr>
  </w:style>
  <w:style w:type="paragraph" w:styleId="aff7">
    <w:name w:val="endnote text"/>
    <w:basedOn w:val="a2"/>
    <w:link w:val="Charf1"/>
    <w:uiPriority w:val="99"/>
    <w:qFormat/>
    <w:rsid w:val="00212EB0"/>
    <w:pPr>
      <w:widowControl/>
      <w:snapToGrid w:val="0"/>
      <w:spacing w:after="180"/>
      <w:jc w:val="left"/>
    </w:pPr>
    <w:rPr>
      <w:kern w:val="0"/>
      <w:sz w:val="20"/>
      <w:szCs w:val="20"/>
      <w:lang w:val="en-GB" w:eastAsia="x-none"/>
    </w:rPr>
  </w:style>
  <w:style w:type="character" w:customStyle="1" w:styleId="Charf1">
    <w:name w:val="尾注文本 Char"/>
    <w:basedOn w:val="a3"/>
    <w:link w:val="aff7"/>
    <w:uiPriority w:val="99"/>
    <w:qFormat/>
    <w:rsid w:val="00212EB0"/>
    <w:rPr>
      <w:rFonts w:ascii="Times New Roman" w:eastAsia="宋体" w:hAnsi="Times New Roman" w:cs="Times New Roman"/>
      <w:kern w:val="0"/>
      <w:sz w:val="20"/>
      <w:szCs w:val="20"/>
      <w:lang w:val="en-GB" w:eastAsia="x-none"/>
    </w:rPr>
  </w:style>
  <w:style w:type="character" w:styleId="aff8">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9">
    <w:name w:val="Date"/>
    <w:basedOn w:val="a2"/>
    <w:next w:val="a2"/>
    <w:link w:val="Charf2"/>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Charf2">
    <w:name w:val="日期 Char"/>
    <w:basedOn w:val="a3"/>
    <w:link w:val="aff9"/>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a">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0"/>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7">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80"/>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7"/>
    <w:next w:val="27"/>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0"/>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8">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b">
    <w:name w:val="样式 页眉"/>
    <w:basedOn w:val="a6"/>
    <w:link w:val="Charf3"/>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3">
    <w:name w:val="样式 页眉 Char"/>
    <w:link w:val="affb"/>
    <w:qFormat/>
    <w:rsid w:val="00212EB0"/>
    <w:rPr>
      <w:rFonts w:ascii="Arial" w:eastAsia="Arial" w:hAnsi="Arial" w:cs="Times New Roman"/>
      <w:b/>
      <w:bCs/>
      <w:noProof/>
      <w:kern w:val="0"/>
      <w:sz w:val="22"/>
      <w:szCs w:val="20"/>
      <w:lang w:val="en-GB" w:eastAsia="en-US"/>
    </w:rPr>
  </w:style>
  <w:style w:type="paragraph" w:customStyle="1" w:styleId="37">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c">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8">
    <w:name w:val="Body Text Indent 3"/>
    <w:basedOn w:val="a2"/>
    <w:link w:val="3Char2"/>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Char2">
    <w:name w:val="正文文本缩进 3 Char"/>
    <w:basedOn w:val="a3"/>
    <w:link w:val="38"/>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4">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Char2">
    <w:name w:val="列表 Char"/>
    <w:link w:val="a9"/>
    <w:qFormat/>
    <w:rsid w:val="00212EB0"/>
    <w:rPr>
      <w:rFonts w:ascii="Times New Roman" w:eastAsia="宋体" w:hAnsi="Times New Roman" w:cs="Times New Roman"/>
    </w:rPr>
  </w:style>
  <w:style w:type="character" w:customStyle="1" w:styleId="2Char0">
    <w:name w:val="列表 2 Char"/>
    <w:link w:val="21"/>
    <w:qFormat/>
    <w:rsid w:val="00212EB0"/>
    <w:rPr>
      <w:rFonts w:ascii="Times New Roman" w:eastAsia="宋体" w:hAnsi="Times New Roman" w:cs="Times New Roman"/>
    </w:rPr>
  </w:style>
  <w:style w:type="character" w:customStyle="1" w:styleId="3Char0">
    <w:name w:val="列表项目符号 3 Char"/>
    <w:link w:val="34"/>
    <w:qFormat/>
    <w:rsid w:val="00212EB0"/>
    <w:rPr>
      <w:rFonts w:ascii="Times New Roman" w:eastAsia="MS Mincho" w:hAnsi="Times New Roman" w:cs="Times New Roman"/>
      <w:kern w:val="0"/>
      <w:sz w:val="20"/>
      <w:szCs w:val="20"/>
      <w:lang w:val="en-GB" w:eastAsia="en-GB"/>
    </w:rPr>
  </w:style>
  <w:style w:type="character" w:customStyle="1" w:styleId="2Char2">
    <w:name w:val="列表项目符号 2 Char"/>
    <w:link w:val="26"/>
    <w:qFormat/>
    <w:rsid w:val="00212EB0"/>
    <w:rPr>
      <w:rFonts w:ascii="Times New Roman" w:eastAsia="MS Mincho" w:hAnsi="Times New Roman" w:cs="Times New Roman"/>
      <w:kern w:val="0"/>
      <w:sz w:val="20"/>
      <w:szCs w:val="20"/>
      <w:lang w:val="en-GB" w:eastAsia="en-GB"/>
    </w:rPr>
  </w:style>
  <w:style w:type="character" w:customStyle="1" w:styleId="Charc">
    <w:name w:val="列表项目符号 Char"/>
    <w:link w:val="afc"/>
    <w:qFormat/>
    <w:rsid w:val="00212EB0"/>
    <w:rPr>
      <w:rFonts w:ascii="Times New Roman" w:eastAsia="MS Mincho" w:hAnsi="Times New Roman" w:cs="Times New Roman"/>
      <w:kern w:val="0"/>
      <w:sz w:val="20"/>
      <w:szCs w:val="20"/>
      <w:lang w:val="en-GB" w:eastAsia="en-GB"/>
    </w:rPr>
  </w:style>
  <w:style w:type="character" w:customStyle="1" w:styleId="1Char1">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1"/>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9">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b">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uiPriority w:val="99"/>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0">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0">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d">
    <w:name w:val="line number"/>
    <w:qFormat/>
    <w:rsid w:val="00212EB0"/>
    <w:rPr>
      <w:rFonts w:ascii="Arial" w:eastAsia="宋体" w:hAnsi="Arial" w:cs="Arial"/>
      <w:color w:val="0000FF"/>
      <w:kern w:val="2"/>
      <w:lang w:val="en-US" w:eastAsia="zh-CN" w:bidi="ar-SA"/>
    </w:rPr>
  </w:style>
  <w:style w:type="paragraph" w:styleId="affe">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
    <w:name w:val="Note Heading"/>
    <w:basedOn w:val="a2"/>
    <w:next w:val="a2"/>
    <w:link w:val="Charf5"/>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Charf5">
    <w:name w:val="注释标题 Char"/>
    <w:basedOn w:val="a3"/>
    <w:link w:val="afff"/>
    <w:qFormat/>
    <w:rsid w:val="00212EB0"/>
    <w:rPr>
      <w:rFonts w:ascii="Times New Roman" w:eastAsia="MS Mincho" w:hAnsi="Times New Roman" w:cs="Times New Roman"/>
      <w:kern w:val="0"/>
      <w:sz w:val="20"/>
      <w:szCs w:val="20"/>
      <w:lang w:val="en-GB"/>
    </w:rPr>
  </w:style>
  <w:style w:type="character" w:customStyle="1" w:styleId="1d">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e">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0">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1">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12EB0"/>
    <w:rPr>
      <w:b/>
      <w:bCs/>
      <w:i/>
      <w:iCs/>
      <w:color w:val="4F81BD"/>
    </w:rPr>
  </w:style>
  <w:style w:type="table" w:customStyle="1" w:styleId="TableGrid13">
    <w:name w:val="Table Grid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Char">
    <w:name w:val="HTML 预设格式 Char"/>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2">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3">
    <w:name w:val="macro"/>
    <w:link w:val="Charf6"/>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6">
    <w:name w:val="宏文本 Char"/>
    <w:basedOn w:val="a3"/>
    <w:link w:val="afff3"/>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9">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0">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d">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1">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e">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212EB0"/>
    <w:rPr>
      <w:rFonts w:ascii="Times New Roman" w:eastAsia="MS Mincho" w:hAnsi="Times New Roman" w:cs="Times New Roman"/>
      <w:kern w:val="0"/>
      <w:sz w:val="20"/>
      <w:szCs w:val="20"/>
      <w:lang w:val="it-IT" w:eastAsia="en-GB"/>
    </w:rPr>
  </w:style>
  <w:style w:type="character" w:customStyle="1" w:styleId="Charf7">
    <w:name w:val="参考资料列表 Char"/>
    <w:link w:val="afff4"/>
    <w:qFormat/>
    <w:locked/>
    <w:rsid w:val="00212EB0"/>
    <w:rPr>
      <w:rFonts w:ascii="Calibri" w:eastAsia="宋体" w:hAnsi="Calibri"/>
    </w:rPr>
  </w:style>
  <w:style w:type="paragraph" w:customStyle="1" w:styleId="afff4">
    <w:name w:val="参考资料列表"/>
    <w:basedOn w:val="a9"/>
    <w:link w:val="Charf7"/>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uiPriority w:val="99"/>
    <w:qFormat/>
    <w:rsid w:val="00212EB0"/>
    <w:pPr>
      <w:ind w:left="1979" w:hanging="1979"/>
    </w:pPr>
    <w:rPr>
      <w:rFonts w:ascii="Calibri" w:hAnsi="Calibri" w:cs="宋体"/>
      <w:b/>
      <w:sz w:val="24"/>
      <w:szCs w:val="20"/>
    </w:rPr>
  </w:style>
  <w:style w:type="paragraph" w:customStyle="1" w:styleId="afff6">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6"/>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7">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8">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2">
    <w:name w:val="未处理的提及1"/>
    <w:basedOn w:val="a3"/>
    <w:uiPriority w:val="99"/>
    <w:semiHidden/>
    <w:qFormat/>
    <w:rsid w:val="00212EB0"/>
    <w:rPr>
      <w:color w:val="605E5C"/>
      <w:shd w:val="clear" w:color="auto" w:fill="E1DFDD"/>
    </w:rPr>
  </w:style>
  <w:style w:type="character" w:customStyle="1" w:styleId="afff9">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12EB0"/>
  </w:style>
  <w:style w:type="table" w:customStyle="1" w:styleId="83">
    <w:name w:val="网格型8"/>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0">
    <w:name w:val="不明显参考2"/>
    <w:uiPriority w:val="31"/>
    <w:qFormat/>
    <w:rsid w:val="00212EB0"/>
    <w:rPr>
      <w:smallCaps/>
      <w:color w:val="5A5A5A"/>
    </w:rPr>
  </w:style>
  <w:style w:type="paragraph" w:customStyle="1" w:styleId="TOC2">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3">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a">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0"/>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b">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1">
    <w:name w:val="??? 2"/>
    <w:basedOn w:val="afffb"/>
    <w:next w:val="afffb"/>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0"/>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0"/>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5">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0">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0"/>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3">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0">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d">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c">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3">
    <w:name w:val="HTML Acronym"/>
    <w:basedOn w:val="a3"/>
    <w:uiPriority w:val="99"/>
    <w:unhideWhenUsed/>
    <w:rsid w:val="00212EB0"/>
  </w:style>
  <w:style w:type="table" w:styleId="afffd">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 w:type="numbering" w:customStyle="1" w:styleId="NoList1144">
    <w:name w:val="No List1144"/>
    <w:next w:val="a5"/>
    <w:uiPriority w:val="99"/>
    <w:semiHidden/>
    <w:unhideWhenUsed/>
    <w:rsid w:val="00212EB0"/>
  </w:style>
  <w:style w:type="numbering" w:customStyle="1" w:styleId="NoList2144">
    <w:name w:val="No List2144"/>
    <w:next w:val="a5"/>
    <w:uiPriority w:val="99"/>
    <w:semiHidden/>
    <w:unhideWhenUsed/>
    <w:rsid w:val="00212EB0"/>
  </w:style>
  <w:style w:type="numbering" w:customStyle="1" w:styleId="NoList3144">
    <w:name w:val="No List3144"/>
    <w:next w:val="a5"/>
    <w:uiPriority w:val="99"/>
    <w:semiHidden/>
    <w:unhideWhenUsed/>
    <w:rsid w:val="00212EB0"/>
  </w:style>
  <w:style w:type="numbering" w:customStyle="1" w:styleId="NoList4144">
    <w:name w:val="No List414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D22A0-8302-44ED-A608-D9386AD95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6</cp:revision>
  <dcterms:created xsi:type="dcterms:W3CDTF">2023-11-03T12:52:00Z</dcterms:created>
  <dcterms:modified xsi:type="dcterms:W3CDTF">2023-11-03T12:57:00Z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(3)3nWhjatzYDvh8VEzEGiSniCjMiabaJhOnAB28BC8r+vmHMB2+govPmqAVEDiuh93YByVAk5R
RjpdkruKsqypY/viM3lW8lycluMqw5C1amfs5qh81gMkTcRqxT9j1H3kAD5YyWRTZ8kGrY7x
S0CmnulTwhNPANtRvywQ+4IgjLxHySOaEF2O6eDeFT+3pRGaAEnBwJkCFHnySV/iJ3fnbg7q
naglsQ388VWkdYMdVE</vt:lpwstr>
  </property>
  <property fmtid="{D5CDD505-2E9C-101B-9397-08002B2CF9AE}" pid="3" name="_2015_ms_pID_7253431">
    <vt:lpwstr>qzIuUyxo1M8dOFmL1tFS4MqFH5EABAJztB6nmjk/US1dd14gfFHUFI
DlJTPgRfdGtLnzgint3lG2seHDlh57TyAurHGlPvCMFYwdOmRZF2VQM5CUTkoBzvBJCqubZQ
RVqOpHc/IjZDxlGI7Ck2MXs45A6IaOztWLn598DrtOwzIW0X+zbCI1Ax0NCbjJ+4FxbsNUvQ
ssU3b+ycgIyiDNenH1rde0O8fPucj2mEI9DM</vt:lpwstr>
  </property>
  <property fmtid="{D5CDD505-2E9C-101B-9397-08002B2CF9AE}" pid="4" name="_2015_ms_pID_7253432">
    <vt:lpwstr>M5kau8FD78qYEzJ5iLlOgnI=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1698941888</vt:lpwstr>
  </property>
</Properties>
</file>